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004D" w14:textId="77777777" w:rsidR="00544B6E" w:rsidRPr="005D3BC7" w:rsidRDefault="00544B6E" w:rsidP="00544B6E">
      <w:pPr>
        <w:spacing w:after="160" w:line="278" w:lineRule="auto"/>
        <w:jc w:val="center"/>
        <w:rPr>
          <w:b/>
          <w:bCs/>
        </w:rPr>
      </w:pPr>
      <w:r w:rsidRPr="005D3BC7">
        <w:rPr>
          <w:b/>
          <w:bCs/>
        </w:rPr>
        <w:t>BANCA NA</w:t>
      </w:r>
      <w:r>
        <w:rPr>
          <w:b/>
          <w:bCs/>
        </w:rPr>
        <w:t>Ț</w:t>
      </w:r>
      <w:r w:rsidRPr="005D3BC7">
        <w:rPr>
          <w:b/>
          <w:bCs/>
        </w:rPr>
        <w:t>IONALĂ A MOLDOVEI</w:t>
      </w:r>
    </w:p>
    <w:p w14:paraId="73967EB5" w14:textId="77777777" w:rsidR="00544B6E" w:rsidRPr="005D3BC7" w:rsidRDefault="00544B6E" w:rsidP="00544B6E">
      <w:pPr>
        <w:spacing w:after="160" w:line="278" w:lineRule="auto"/>
        <w:jc w:val="center"/>
      </w:pPr>
    </w:p>
    <w:p w14:paraId="6F87E5F4" w14:textId="0D02A752" w:rsidR="00544B6E" w:rsidRPr="005D3BC7" w:rsidRDefault="00544B6E" w:rsidP="00544B6E">
      <w:pPr>
        <w:spacing w:after="160" w:line="278" w:lineRule="auto"/>
        <w:jc w:val="center"/>
        <w:rPr>
          <w:b/>
          <w:bCs/>
          <w:lang w:val="ro-RO"/>
        </w:rPr>
      </w:pPr>
      <w:r w:rsidRPr="005D3BC7">
        <w:rPr>
          <w:b/>
          <w:bCs/>
          <w:lang w:val="ro-RO"/>
        </w:rPr>
        <w:t>HOTĂRÂRE</w:t>
      </w:r>
    </w:p>
    <w:p w14:paraId="4B8DB9C0" w14:textId="77777777" w:rsidR="00544B6E" w:rsidRPr="005D3BC7" w:rsidRDefault="00544B6E" w:rsidP="00544B6E">
      <w:pPr>
        <w:spacing w:line="278" w:lineRule="auto"/>
        <w:jc w:val="center"/>
        <w:rPr>
          <w:b/>
          <w:bCs/>
          <w:lang w:val="ro-RO"/>
        </w:rPr>
      </w:pPr>
      <w:r w:rsidRPr="005D3BC7">
        <w:rPr>
          <w:b/>
          <w:bCs/>
          <w:lang w:val="ro-RO"/>
        </w:rPr>
        <w:t>pentru modificarea unor acte normative ale Băncii Na</w:t>
      </w:r>
      <w:r w:rsidRPr="00544B6E">
        <w:rPr>
          <w:b/>
          <w:bCs/>
          <w:lang w:val="ro-RO"/>
        </w:rPr>
        <w:t>ț</w:t>
      </w:r>
      <w:r w:rsidRPr="005D3BC7">
        <w:rPr>
          <w:b/>
          <w:bCs/>
          <w:lang w:val="ro-RO"/>
        </w:rPr>
        <w:t>ionale a Moldovei</w:t>
      </w:r>
    </w:p>
    <w:p w14:paraId="171BDB2F" w14:textId="77777777" w:rsidR="00544B6E" w:rsidRPr="005D3BC7" w:rsidRDefault="00544B6E" w:rsidP="00544B6E">
      <w:pPr>
        <w:spacing w:line="278" w:lineRule="auto"/>
        <w:jc w:val="center"/>
        <w:rPr>
          <w:b/>
          <w:bCs/>
          <w:lang w:val="ro-RO"/>
        </w:rPr>
      </w:pPr>
      <w:r w:rsidRPr="005D3BC7">
        <w:rPr>
          <w:b/>
          <w:bCs/>
          <w:lang w:val="ro-RO"/>
        </w:rPr>
        <w:t xml:space="preserve">(fondurile proprii ale băncilor </w:t>
      </w:r>
      <w:r w:rsidRPr="00544B6E">
        <w:rPr>
          <w:b/>
          <w:bCs/>
          <w:lang w:val="ro-RO"/>
        </w:rPr>
        <w:t>ș</w:t>
      </w:r>
      <w:r w:rsidRPr="005D3BC7">
        <w:rPr>
          <w:b/>
          <w:bCs/>
          <w:lang w:val="ro-RO"/>
        </w:rPr>
        <w:t>i cerin</w:t>
      </w:r>
      <w:r w:rsidRPr="00544B6E">
        <w:rPr>
          <w:b/>
          <w:bCs/>
          <w:lang w:val="ro-RO"/>
        </w:rPr>
        <w:t>ț</w:t>
      </w:r>
      <w:r w:rsidRPr="005D3BC7">
        <w:rPr>
          <w:b/>
          <w:bCs/>
          <w:lang w:val="ro-RO"/>
        </w:rPr>
        <w:t>ele de capital)</w:t>
      </w:r>
    </w:p>
    <w:p w14:paraId="22B46B26" w14:textId="77777777" w:rsidR="00544B6E" w:rsidRPr="005D3BC7" w:rsidRDefault="00544B6E" w:rsidP="00544B6E">
      <w:pPr>
        <w:spacing w:line="278" w:lineRule="auto"/>
        <w:jc w:val="center"/>
        <w:rPr>
          <w:b/>
          <w:bCs/>
          <w:lang w:val="ro-RO"/>
        </w:rPr>
      </w:pPr>
    </w:p>
    <w:p w14:paraId="7E7F58CF" w14:textId="2F60FC8E" w:rsidR="00544B6E" w:rsidRPr="005D3BC7" w:rsidRDefault="00544B6E" w:rsidP="00544B6E">
      <w:pPr>
        <w:spacing w:line="278" w:lineRule="auto"/>
        <w:jc w:val="center"/>
        <w:rPr>
          <w:b/>
          <w:bCs/>
          <w:lang w:val="ro-RO"/>
        </w:rPr>
      </w:pPr>
      <w:r w:rsidRPr="005D3BC7">
        <w:rPr>
          <w:b/>
          <w:bCs/>
          <w:lang w:val="ro-RO"/>
        </w:rPr>
        <w:t>nr. 76 din  26.03.2026</w:t>
      </w:r>
    </w:p>
    <w:p w14:paraId="767EEC64" w14:textId="77777777" w:rsidR="00544B6E" w:rsidRPr="005D3BC7" w:rsidRDefault="00544B6E" w:rsidP="00544B6E">
      <w:pPr>
        <w:spacing w:line="278" w:lineRule="auto"/>
        <w:jc w:val="center"/>
        <w:rPr>
          <w:lang w:val="ro-RO"/>
        </w:rPr>
      </w:pPr>
      <w:r w:rsidRPr="005D3BC7">
        <w:rPr>
          <w:i/>
          <w:iCs/>
          <w:lang w:val="ro-RO"/>
        </w:rPr>
        <w:t>(în vigoare 01.07.2027, cu excep</w:t>
      </w:r>
      <w:r w:rsidRPr="00544B6E">
        <w:rPr>
          <w:i/>
          <w:iCs/>
          <w:lang w:val="ro-RO"/>
        </w:rPr>
        <w:t>ț</w:t>
      </w:r>
      <w:r w:rsidRPr="005D3BC7">
        <w:rPr>
          <w:i/>
          <w:iCs/>
          <w:lang w:val="ro-RO"/>
        </w:rPr>
        <w:t>ia unor prevederi prevăzute în pct.4)</w:t>
      </w:r>
    </w:p>
    <w:p w14:paraId="7E3FA771" w14:textId="77777777" w:rsidR="00544B6E" w:rsidRPr="005D3BC7" w:rsidRDefault="00544B6E" w:rsidP="00544B6E">
      <w:pPr>
        <w:spacing w:after="160" w:line="278" w:lineRule="auto"/>
        <w:jc w:val="center"/>
        <w:rPr>
          <w:lang w:val="ro-RO"/>
        </w:rPr>
      </w:pPr>
    </w:p>
    <w:p w14:paraId="6B07A8A3" w14:textId="77777777" w:rsidR="00544B6E" w:rsidRPr="005D3BC7" w:rsidRDefault="00544B6E" w:rsidP="00544B6E">
      <w:pPr>
        <w:spacing w:after="160" w:line="278" w:lineRule="auto"/>
        <w:jc w:val="center"/>
        <w:rPr>
          <w:lang w:val="ro-RO"/>
        </w:rPr>
      </w:pPr>
      <w:r w:rsidRPr="005D3BC7">
        <w:rPr>
          <w:lang w:val="ro-RO"/>
        </w:rPr>
        <w:t>Monitorul Oficial al R. Moldova nr.146-147 art. 262 din 02.04.2026</w:t>
      </w:r>
    </w:p>
    <w:p w14:paraId="0BFFF1DE" w14:textId="77777777" w:rsidR="00544B6E" w:rsidRPr="005D3BC7" w:rsidRDefault="00544B6E" w:rsidP="00544B6E">
      <w:pPr>
        <w:spacing w:after="160" w:line="278" w:lineRule="auto"/>
        <w:jc w:val="center"/>
      </w:pPr>
      <w:r w:rsidRPr="005D3BC7">
        <w:t>* * *</w:t>
      </w:r>
    </w:p>
    <w:p w14:paraId="3CD367E5" w14:textId="6AAD3C1F" w:rsidR="00C035A5" w:rsidRDefault="00C035A5" w:rsidP="009B1210">
      <w:pPr>
        <w:tabs>
          <w:tab w:val="left" w:pos="1134"/>
        </w:tabs>
        <w:ind w:firstLine="567"/>
        <w:jc w:val="both"/>
        <w:rPr>
          <w:lang w:val="ro-MD" w:eastAsia="ru-RU"/>
        </w:rPr>
      </w:pPr>
      <w:r w:rsidRPr="0034750F">
        <w:rPr>
          <w:lang w:val="ro-MD" w:eastAsia="ru-RU"/>
        </w:rPr>
        <w:t>În temeiul art.</w:t>
      </w:r>
      <w:r w:rsidR="00123A40" w:rsidRPr="005A565D">
        <w:rPr>
          <w:lang w:val="ro-MD"/>
        </w:rPr>
        <w:t xml:space="preserve"> </w:t>
      </w:r>
      <w:r w:rsidR="0067578C">
        <w:rPr>
          <w:lang w:val="ro-MD" w:eastAsia="ru-RU"/>
        </w:rPr>
        <w:t>6</w:t>
      </w:r>
      <w:r w:rsidR="00775F56">
        <w:rPr>
          <w:lang w:val="ro-MD" w:eastAsia="ru-RU"/>
        </w:rPr>
        <w:t>0-62</w:t>
      </w:r>
      <w:r w:rsidR="00123A40" w:rsidRPr="00123A40">
        <w:rPr>
          <w:lang w:val="ro-MD" w:eastAsia="ru-RU"/>
        </w:rPr>
        <w:t xml:space="preserve"> </w:t>
      </w:r>
      <w:r w:rsidR="00A421A6">
        <w:rPr>
          <w:lang w:val="ro-MD" w:eastAsia="ru-RU"/>
        </w:rPr>
        <w:t>d</w:t>
      </w:r>
      <w:r w:rsidRPr="0034750F">
        <w:rPr>
          <w:lang w:val="ro-MD" w:eastAsia="ru-RU"/>
        </w:rPr>
        <w:t>in Legea nr.202</w:t>
      </w:r>
      <w:r w:rsidR="00EB3DF0">
        <w:rPr>
          <w:lang w:val="ro-MD" w:eastAsia="ru-RU"/>
        </w:rPr>
        <w:t>/</w:t>
      </w:r>
      <w:r w:rsidRPr="0034750F">
        <w:rPr>
          <w:lang w:val="ro-MD" w:eastAsia="ru-RU"/>
        </w:rPr>
        <w:t xml:space="preserve">2017 privind activitatea băncilor (Monitorul Oficial al Republicii Moldova, 2017, nr.434-439, art.727), </w:t>
      </w:r>
      <w:r w:rsidR="001F1D70">
        <w:rPr>
          <w:lang w:val="ro-MD" w:eastAsia="ru-RU"/>
        </w:rPr>
        <w:t xml:space="preserve">cu modificările </w:t>
      </w:r>
      <w:r w:rsidR="001F1D70">
        <w:rPr>
          <w:lang w:val="ro-RO" w:eastAsia="ru-RU"/>
        </w:rPr>
        <w:t xml:space="preserve">ulterioare, </w:t>
      </w:r>
      <w:r w:rsidRPr="0034750F">
        <w:rPr>
          <w:lang w:val="ro-MD"/>
        </w:rPr>
        <w:t xml:space="preserve">Comitetul executiv </w:t>
      </w:r>
      <w:r w:rsidRPr="0034750F">
        <w:rPr>
          <w:lang w:val="ro-MD" w:eastAsia="ru-RU"/>
        </w:rPr>
        <w:t xml:space="preserve">al Băncii Naționale a Moldovei </w:t>
      </w:r>
    </w:p>
    <w:p w14:paraId="154595E2" w14:textId="77777777" w:rsidR="00C035A5" w:rsidRPr="0034750F" w:rsidRDefault="00C035A5" w:rsidP="00C035A5">
      <w:pPr>
        <w:tabs>
          <w:tab w:val="left" w:pos="1134"/>
        </w:tabs>
        <w:ind w:firstLine="720"/>
        <w:jc w:val="both"/>
        <w:rPr>
          <w:lang w:val="ro-MD" w:eastAsia="ru-RU"/>
        </w:rPr>
      </w:pPr>
    </w:p>
    <w:p w14:paraId="2993C2D7" w14:textId="77777777" w:rsidR="00C035A5" w:rsidRPr="0034750F" w:rsidRDefault="00C035A5" w:rsidP="001A7DD3">
      <w:pPr>
        <w:tabs>
          <w:tab w:val="left" w:pos="1134"/>
        </w:tabs>
        <w:ind w:firstLine="720"/>
        <w:jc w:val="center"/>
        <w:rPr>
          <w:b/>
          <w:lang w:val="ro-MD" w:eastAsia="ru-RU"/>
        </w:rPr>
      </w:pPr>
      <w:r w:rsidRPr="0034750F">
        <w:rPr>
          <w:b/>
          <w:lang w:val="ro-MD" w:eastAsia="ru-RU"/>
        </w:rPr>
        <w:t>HOTĂRĂŞTE:</w:t>
      </w:r>
    </w:p>
    <w:p w14:paraId="2E14AD7D" w14:textId="77777777" w:rsidR="00E919A6" w:rsidRDefault="0083387E" w:rsidP="00F96EF1">
      <w:pPr>
        <w:tabs>
          <w:tab w:val="left" w:pos="1134"/>
        </w:tabs>
        <w:spacing w:before="80"/>
        <w:ind w:firstLine="567"/>
        <w:jc w:val="both"/>
        <w:rPr>
          <w:bCs/>
          <w:lang w:val="ro-MD" w:eastAsia="ru-RU"/>
        </w:rPr>
      </w:pPr>
      <w:r w:rsidRPr="0083387E">
        <w:rPr>
          <w:bCs/>
          <w:lang w:val="ro-MD" w:eastAsia="ru-RU"/>
        </w:rPr>
        <w:t>Prezenta hotărâre</w:t>
      </w:r>
      <w:r w:rsidR="00E919A6">
        <w:rPr>
          <w:bCs/>
          <w:lang w:val="ro-MD" w:eastAsia="ru-RU"/>
        </w:rPr>
        <w:t>:</w:t>
      </w:r>
    </w:p>
    <w:p w14:paraId="14CC8236" w14:textId="1E4F146E" w:rsidR="00BD457E" w:rsidRDefault="00E919A6" w:rsidP="0083387E">
      <w:pPr>
        <w:tabs>
          <w:tab w:val="left" w:pos="1134"/>
        </w:tabs>
        <w:ind w:firstLine="567"/>
        <w:jc w:val="both"/>
        <w:rPr>
          <w:bCs/>
          <w:lang w:val="ro-MD" w:eastAsia="ru-RU"/>
        </w:rPr>
      </w:pPr>
      <w:r>
        <w:rPr>
          <w:bCs/>
          <w:lang w:val="ro-MD" w:eastAsia="ru-RU"/>
        </w:rPr>
        <w:t>-</w:t>
      </w:r>
      <w:r w:rsidR="0083387E" w:rsidRPr="0083387E">
        <w:rPr>
          <w:bCs/>
          <w:lang w:val="ro-MD" w:eastAsia="ru-RU"/>
        </w:rPr>
        <w:t xml:space="preserve"> </w:t>
      </w:r>
      <w:r w:rsidR="0083387E" w:rsidRPr="008D6E78">
        <w:rPr>
          <w:b/>
          <w:lang w:val="ro-MD" w:eastAsia="ru-RU"/>
        </w:rPr>
        <w:t xml:space="preserve">transpune </w:t>
      </w:r>
      <w:r w:rsidR="006F2964" w:rsidRPr="008D6E78">
        <w:rPr>
          <w:b/>
          <w:lang w:val="ro-MD" w:eastAsia="ru-RU"/>
        </w:rPr>
        <w:t>parțial</w:t>
      </w:r>
      <w:r w:rsidR="006F2964">
        <w:rPr>
          <w:bCs/>
          <w:lang w:val="ro-MD" w:eastAsia="ru-RU"/>
        </w:rPr>
        <w:t xml:space="preserve"> (transpune </w:t>
      </w:r>
      <w:r w:rsidR="00C42578">
        <w:rPr>
          <w:bCs/>
          <w:lang w:val="ro-MD" w:eastAsia="ru-RU"/>
        </w:rPr>
        <w:t>art.27</w:t>
      </w:r>
      <w:r w:rsidR="006F2964">
        <w:rPr>
          <w:bCs/>
          <w:lang w:val="ro-MD" w:eastAsia="ru-RU"/>
        </w:rPr>
        <w:t xml:space="preserve"> (1) – (2)</w:t>
      </w:r>
      <w:r w:rsidR="00C42578">
        <w:rPr>
          <w:bCs/>
          <w:lang w:val="ro-MD" w:eastAsia="ru-RU"/>
        </w:rPr>
        <w:t>, art.28 (1) și</w:t>
      </w:r>
      <w:r w:rsidR="006F2964">
        <w:rPr>
          <w:bCs/>
          <w:lang w:val="ro-MD" w:eastAsia="ru-RU"/>
        </w:rPr>
        <w:t xml:space="preserve"> </w:t>
      </w:r>
      <w:r w:rsidR="00C42578">
        <w:rPr>
          <w:bCs/>
          <w:lang w:val="ro-MD" w:eastAsia="ru-RU"/>
        </w:rPr>
        <w:t>(3), art.29</w:t>
      </w:r>
      <w:r w:rsidR="006F2964">
        <w:rPr>
          <w:bCs/>
          <w:lang w:val="ro-MD" w:eastAsia="ru-RU"/>
        </w:rPr>
        <w:t xml:space="preserve"> (1) - (5)</w:t>
      </w:r>
      <w:r w:rsidR="00C42578">
        <w:rPr>
          <w:bCs/>
          <w:lang w:val="ro-MD" w:eastAsia="ru-RU"/>
        </w:rPr>
        <w:t>, art.32</w:t>
      </w:r>
      <w:r w:rsidR="006F2964">
        <w:rPr>
          <w:bCs/>
          <w:lang w:val="ro-MD" w:eastAsia="ru-RU"/>
        </w:rPr>
        <w:t xml:space="preserve"> (1) – (2)</w:t>
      </w:r>
      <w:r w:rsidR="00C42578">
        <w:rPr>
          <w:bCs/>
          <w:lang w:val="ro-MD" w:eastAsia="ru-RU"/>
        </w:rPr>
        <w:t xml:space="preserve">, </w:t>
      </w:r>
      <w:r w:rsidR="006F2964" w:rsidRPr="006F2964">
        <w:rPr>
          <w:bCs/>
          <w:lang w:val="ro-MD" w:eastAsia="ru-RU"/>
        </w:rPr>
        <w:t>33 (3)</w:t>
      </w:r>
      <w:r w:rsidR="006F2964">
        <w:rPr>
          <w:bCs/>
          <w:lang w:val="ro-MD" w:eastAsia="ru-RU"/>
        </w:rPr>
        <w:t xml:space="preserve">, </w:t>
      </w:r>
      <w:r w:rsidR="00C42578">
        <w:rPr>
          <w:bCs/>
          <w:lang w:val="ro-MD" w:eastAsia="ru-RU"/>
        </w:rPr>
        <w:t xml:space="preserve">art.36 </w:t>
      </w:r>
      <w:r w:rsidR="00BD457E">
        <w:rPr>
          <w:bCs/>
          <w:lang w:val="ro-MD" w:eastAsia="ru-RU"/>
        </w:rPr>
        <w:t>(1)</w:t>
      </w:r>
      <w:r w:rsidR="006F2964">
        <w:rPr>
          <w:bCs/>
          <w:lang w:val="ro-MD" w:eastAsia="ru-RU"/>
        </w:rPr>
        <w:t xml:space="preserve"> lit. d), k), m), n) și</w:t>
      </w:r>
      <w:r w:rsidR="00BD457E">
        <w:rPr>
          <w:bCs/>
          <w:lang w:val="ro-MD" w:eastAsia="ru-RU"/>
        </w:rPr>
        <w:t xml:space="preserve"> </w:t>
      </w:r>
      <w:r w:rsidR="00C42578">
        <w:rPr>
          <w:bCs/>
          <w:lang w:val="ro-MD" w:eastAsia="ru-RU"/>
        </w:rPr>
        <w:t>(5)</w:t>
      </w:r>
      <w:r w:rsidR="00BD457E">
        <w:rPr>
          <w:bCs/>
          <w:lang w:val="ro-MD" w:eastAsia="ru-RU"/>
        </w:rPr>
        <w:t xml:space="preserve">, art.40, </w:t>
      </w:r>
      <w:r w:rsidR="006F2964" w:rsidRPr="006F2964">
        <w:rPr>
          <w:bCs/>
          <w:lang w:val="ro-MD" w:eastAsia="ru-RU"/>
        </w:rPr>
        <w:t>art. 45</w:t>
      </w:r>
      <w:r w:rsidR="006F2964">
        <w:rPr>
          <w:bCs/>
          <w:lang w:val="ro-MD" w:eastAsia="ru-RU"/>
        </w:rPr>
        <w:t>,</w:t>
      </w:r>
      <w:r w:rsidR="006F2964" w:rsidRPr="006F2964">
        <w:rPr>
          <w:bCs/>
          <w:lang w:val="ro-MD" w:eastAsia="ru-RU"/>
        </w:rPr>
        <w:t xml:space="preserve"> </w:t>
      </w:r>
      <w:r w:rsidR="00BD457E">
        <w:rPr>
          <w:bCs/>
          <w:lang w:val="ro-MD" w:eastAsia="ru-RU"/>
        </w:rPr>
        <w:t>art. 47a, 47b, 47c, art.52 (1)</w:t>
      </w:r>
      <w:r w:rsidR="006F2964">
        <w:rPr>
          <w:bCs/>
          <w:lang w:val="ro-MD" w:eastAsia="ru-RU"/>
        </w:rPr>
        <w:t xml:space="preserve"> lit. p) – r)</w:t>
      </w:r>
      <w:r w:rsidR="004B67C6">
        <w:rPr>
          <w:bCs/>
          <w:lang w:val="ro-MD" w:eastAsia="ru-RU"/>
        </w:rPr>
        <w:t>, art.54</w:t>
      </w:r>
      <w:r w:rsidR="006F2964">
        <w:rPr>
          <w:bCs/>
          <w:lang w:val="ro-MD" w:eastAsia="ru-RU"/>
        </w:rPr>
        <w:t xml:space="preserve"> </w:t>
      </w:r>
      <w:r w:rsidR="004B67C6">
        <w:rPr>
          <w:bCs/>
          <w:lang w:val="ro-MD" w:eastAsia="ru-RU"/>
        </w:rPr>
        <w:t>(1)</w:t>
      </w:r>
      <w:r w:rsidR="006F2964">
        <w:rPr>
          <w:bCs/>
          <w:lang w:val="ro-MD" w:eastAsia="ru-RU"/>
        </w:rPr>
        <w:t xml:space="preserve"> </w:t>
      </w:r>
      <w:proofErr w:type="spellStart"/>
      <w:r w:rsidR="006F2964">
        <w:rPr>
          <w:bCs/>
          <w:lang w:val="ro-MD" w:eastAsia="ru-RU"/>
        </w:rPr>
        <w:t>lit.e</w:t>
      </w:r>
      <w:proofErr w:type="spellEnd"/>
      <w:r w:rsidR="006F2964">
        <w:rPr>
          <w:bCs/>
          <w:lang w:val="ro-MD" w:eastAsia="ru-RU"/>
        </w:rPr>
        <w:t>)</w:t>
      </w:r>
      <w:r w:rsidR="004B67C6">
        <w:rPr>
          <w:bCs/>
          <w:lang w:val="ro-MD" w:eastAsia="ru-RU"/>
        </w:rPr>
        <w:t>, art.62</w:t>
      </w:r>
      <w:r w:rsidR="006F2964">
        <w:rPr>
          <w:bCs/>
          <w:lang w:val="ro-MD" w:eastAsia="ru-RU"/>
        </w:rPr>
        <w:t xml:space="preserve"> lit. d) și ultima teză</w:t>
      </w:r>
      <w:r w:rsidR="004B67C6">
        <w:rPr>
          <w:bCs/>
          <w:lang w:val="ro-MD" w:eastAsia="ru-RU"/>
        </w:rPr>
        <w:t>, art.63</w:t>
      </w:r>
      <w:r w:rsidR="006F2964">
        <w:rPr>
          <w:bCs/>
          <w:lang w:val="ro-MD" w:eastAsia="ru-RU"/>
        </w:rPr>
        <w:t xml:space="preserve"> </w:t>
      </w:r>
      <w:r w:rsidR="004B67C6">
        <w:rPr>
          <w:bCs/>
          <w:lang w:val="ro-MD" w:eastAsia="ru-RU"/>
        </w:rPr>
        <w:t>(1)</w:t>
      </w:r>
      <w:r w:rsidR="006F2964">
        <w:rPr>
          <w:bCs/>
          <w:lang w:val="ro-MD" w:eastAsia="ru-RU"/>
        </w:rPr>
        <w:t xml:space="preserve"> lit. a)</w:t>
      </w:r>
      <w:r w:rsidR="004B67C6">
        <w:rPr>
          <w:bCs/>
          <w:lang w:val="ro-MD" w:eastAsia="ru-RU"/>
        </w:rPr>
        <w:t>,</w:t>
      </w:r>
      <w:r w:rsidR="006F2964" w:rsidRPr="006F2964">
        <w:t xml:space="preserve"> </w:t>
      </w:r>
      <w:r w:rsidR="006F2964" w:rsidRPr="006F2964">
        <w:rPr>
          <w:bCs/>
          <w:lang w:val="ro-MD" w:eastAsia="ru-RU"/>
        </w:rPr>
        <w:t>n) –p),</w:t>
      </w:r>
      <w:r w:rsidR="004B67C6">
        <w:rPr>
          <w:bCs/>
          <w:lang w:val="ro-MD" w:eastAsia="ru-RU"/>
        </w:rPr>
        <w:t xml:space="preserve"> </w:t>
      </w:r>
      <w:r w:rsidR="00F80639">
        <w:rPr>
          <w:bCs/>
          <w:lang w:val="ro-MD" w:eastAsia="ru-RU"/>
        </w:rPr>
        <w:t>art.64</w:t>
      </w:r>
      <w:r w:rsidR="006F2964">
        <w:rPr>
          <w:bCs/>
          <w:lang w:val="ro-MD" w:eastAsia="ru-RU"/>
        </w:rPr>
        <w:t xml:space="preserve"> </w:t>
      </w:r>
      <w:r w:rsidR="00F80639">
        <w:rPr>
          <w:bCs/>
          <w:lang w:val="ro-MD" w:eastAsia="ru-RU"/>
        </w:rPr>
        <w:t>(1),</w:t>
      </w:r>
      <w:r w:rsidR="007E78AA">
        <w:rPr>
          <w:bCs/>
          <w:lang w:val="ro-MD" w:eastAsia="ru-RU"/>
        </w:rPr>
        <w:t xml:space="preserve"> art.72a</w:t>
      </w:r>
      <w:r w:rsidR="006F2964">
        <w:rPr>
          <w:bCs/>
          <w:lang w:val="ro-MD" w:eastAsia="ru-RU"/>
        </w:rPr>
        <w:t>, art.72b (1) – (2) și ultima teză, (3), (7), art. 72c-72d, art.72e (2) – (3), (5), art.</w:t>
      </w:r>
      <w:r w:rsidR="007F3600">
        <w:rPr>
          <w:bCs/>
          <w:lang w:val="ro-MD" w:eastAsia="ru-RU"/>
        </w:rPr>
        <w:t>72f, art.72j</w:t>
      </w:r>
      <w:r w:rsidR="006F2964">
        <w:rPr>
          <w:bCs/>
          <w:lang w:val="ro-MD" w:eastAsia="ru-RU"/>
        </w:rPr>
        <w:t xml:space="preserve"> (1)</w:t>
      </w:r>
      <w:r w:rsidR="006816C2">
        <w:rPr>
          <w:bCs/>
          <w:lang w:val="ro-MD" w:eastAsia="ru-RU"/>
        </w:rPr>
        <w:t xml:space="preserve"> </w:t>
      </w:r>
      <w:r w:rsidR="006F2964">
        <w:rPr>
          <w:bCs/>
          <w:lang w:val="ro-MD" w:eastAsia="ru-RU"/>
        </w:rPr>
        <w:t>– (2), art.</w:t>
      </w:r>
      <w:r w:rsidR="006816C2">
        <w:rPr>
          <w:bCs/>
          <w:lang w:val="ro-MD" w:eastAsia="ru-RU"/>
        </w:rPr>
        <w:t xml:space="preserve">72l, </w:t>
      </w:r>
      <w:r w:rsidR="00E46198">
        <w:rPr>
          <w:bCs/>
          <w:lang w:val="ro-MD" w:eastAsia="ru-RU"/>
        </w:rPr>
        <w:t xml:space="preserve">art.73(3), </w:t>
      </w:r>
      <w:r w:rsidR="00490BDA">
        <w:rPr>
          <w:bCs/>
          <w:lang w:val="ro-MD" w:eastAsia="ru-RU"/>
        </w:rPr>
        <w:t>art.76</w:t>
      </w:r>
      <w:r w:rsidR="006F2964">
        <w:rPr>
          <w:bCs/>
          <w:lang w:val="ro-MD" w:eastAsia="ru-RU"/>
        </w:rPr>
        <w:t xml:space="preserve"> (1) – (3)</w:t>
      </w:r>
      <w:r w:rsidR="00490BDA">
        <w:rPr>
          <w:bCs/>
          <w:lang w:val="ro-MD" w:eastAsia="ru-RU"/>
        </w:rPr>
        <w:t>, art.77</w:t>
      </w:r>
      <w:r w:rsidR="006F2964">
        <w:rPr>
          <w:bCs/>
          <w:lang w:val="ro-MD" w:eastAsia="ru-RU"/>
        </w:rPr>
        <w:t xml:space="preserve">(1) lit. b) și </w:t>
      </w:r>
      <w:r w:rsidR="00490BDA">
        <w:rPr>
          <w:bCs/>
          <w:lang w:val="ro-MD" w:eastAsia="ru-RU"/>
        </w:rPr>
        <w:t xml:space="preserve">(2), </w:t>
      </w:r>
      <w:r w:rsidR="005320DD">
        <w:rPr>
          <w:bCs/>
          <w:lang w:val="ro-MD" w:eastAsia="ru-RU"/>
        </w:rPr>
        <w:t>art.78</w:t>
      </w:r>
      <w:r w:rsidR="006F2964">
        <w:rPr>
          <w:bCs/>
          <w:lang w:val="ro-MD" w:eastAsia="ru-RU"/>
        </w:rPr>
        <w:t xml:space="preserve"> prima teză, </w:t>
      </w:r>
      <w:r w:rsidR="005320DD">
        <w:rPr>
          <w:bCs/>
          <w:lang w:val="ro-MD" w:eastAsia="ru-RU"/>
        </w:rPr>
        <w:t>(</w:t>
      </w:r>
      <w:r w:rsidR="006F2964">
        <w:rPr>
          <w:bCs/>
          <w:lang w:val="ro-MD" w:eastAsia="ru-RU"/>
        </w:rPr>
        <w:t>4</w:t>
      </w:r>
      <w:r w:rsidR="005320DD">
        <w:rPr>
          <w:bCs/>
          <w:lang w:val="ro-MD" w:eastAsia="ru-RU"/>
        </w:rPr>
        <w:t>)</w:t>
      </w:r>
      <w:r w:rsidR="006F2964">
        <w:rPr>
          <w:bCs/>
          <w:lang w:val="ro-MD" w:eastAsia="ru-RU"/>
        </w:rPr>
        <w:t xml:space="preserve"> </w:t>
      </w:r>
      <w:proofErr w:type="spellStart"/>
      <w:r w:rsidR="006F2964">
        <w:rPr>
          <w:bCs/>
          <w:lang w:val="ro-MD" w:eastAsia="ru-RU"/>
        </w:rPr>
        <w:t>lit.d</w:t>
      </w:r>
      <w:proofErr w:type="spellEnd"/>
      <w:r w:rsidR="006F2964">
        <w:rPr>
          <w:bCs/>
          <w:lang w:val="ro-MD" w:eastAsia="ru-RU"/>
        </w:rPr>
        <w:t>) și e)</w:t>
      </w:r>
      <w:r w:rsidR="005320DD">
        <w:rPr>
          <w:bCs/>
          <w:lang w:val="ro-MD" w:eastAsia="ru-RU"/>
        </w:rPr>
        <w:t xml:space="preserve">, art.78a, </w:t>
      </w:r>
      <w:r w:rsidR="00490BDA">
        <w:rPr>
          <w:bCs/>
          <w:lang w:val="ro-MD" w:eastAsia="ru-RU"/>
        </w:rPr>
        <w:t>art.79a</w:t>
      </w:r>
      <w:r w:rsidR="00D859CD">
        <w:rPr>
          <w:bCs/>
          <w:lang w:val="ro-MD" w:eastAsia="ru-RU"/>
        </w:rPr>
        <w:t>, art.84</w:t>
      </w:r>
      <w:r w:rsidR="00CA5CFE">
        <w:rPr>
          <w:bCs/>
          <w:lang w:val="ro-MD" w:eastAsia="ru-RU"/>
        </w:rPr>
        <w:t>(1)</w:t>
      </w:r>
      <w:r w:rsidR="00C84117">
        <w:rPr>
          <w:bCs/>
          <w:lang w:val="ro-MD" w:eastAsia="ru-RU"/>
        </w:rPr>
        <w:t xml:space="preserve"> și</w:t>
      </w:r>
      <w:r w:rsidR="006F2964">
        <w:rPr>
          <w:bCs/>
          <w:lang w:val="ro-MD" w:eastAsia="ru-RU"/>
        </w:rPr>
        <w:t xml:space="preserve"> teza a II-a</w:t>
      </w:r>
      <w:r w:rsidR="00D859CD">
        <w:rPr>
          <w:bCs/>
          <w:lang w:val="ro-MD" w:eastAsia="ru-RU"/>
        </w:rPr>
        <w:t xml:space="preserve">, </w:t>
      </w:r>
      <w:r w:rsidR="00290EA7">
        <w:rPr>
          <w:bCs/>
          <w:lang w:val="ro-MD" w:eastAsia="ru-RU"/>
        </w:rPr>
        <w:t>art.85</w:t>
      </w:r>
      <w:r w:rsidR="006F2964">
        <w:rPr>
          <w:bCs/>
          <w:lang w:val="ro-MD" w:eastAsia="ru-RU"/>
        </w:rPr>
        <w:t xml:space="preserve"> (1) și </w:t>
      </w:r>
      <w:r w:rsidR="00C84117">
        <w:rPr>
          <w:bCs/>
          <w:lang w:val="ro-MD" w:eastAsia="ru-RU"/>
        </w:rPr>
        <w:t>(3)</w:t>
      </w:r>
      <w:r w:rsidR="00290EA7">
        <w:rPr>
          <w:bCs/>
          <w:lang w:val="ro-MD" w:eastAsia="ru-RU"/>
        </w:rPr>
        <w:t xml:space="preserve">, </w:t>
      </w:r>
      <w:r w:rsidR="00C84117">
        <w:rPr>
          <w:bCs/>
          <w:lang w:val="ro-MD" w:eastAsia="ru-RU"/>
        </w:rPr>
        <w:t>art.87(1) și (3), art</w:t>
      </w:r>
      <w:r w:rsidR="00D9623B">
        <w:rPr>
          <w:bCs/>
          <w:lang w:val="ro-MD" w:eastAsia="ru-RU"/>
        </w:rPr>
        <w:t>.9</w:t>
      </w:r>
      <w:r w:rsidR="009C3ECF">
        <w:rPr>
          <w:bCs/>
          <w:lang w:val="ro-MD" w:eastAsia="ru-RU"/>
        </w:rPr>
        <w:t>2</w:t>
      </w:r>
      <w:r w:rsidR="006F2964">
        <w:rPr>
          <w:bCs/>
          <w:lang w:val="ro-MD" w:eastAsia="ru-RU"/>
        </w:rPr>
        <w:t xml:space="preserve"> (3), (4) </w:t>
      </w:r>
      <w:proofErr w:type="spellStart"/>
      <w:r w:rsidR="006F2964">
        <w:rPr>
          <w:bCs/>
          <w:lang w:val="ro-MD" w:eastAsia="ru-RU"/>
        </w:rPr>
        <w:t>lit.a</w:t>
      </w:r>
      <w:proofErr w:type="spellEnd"/>
      <w:r w:rsidR="006F2964">
        <w:rPr>
          <w:bCs/>
          <w:lang w:val="ro-MD" w:eastAsia="ru-RU"/>
        </w:rPr>
        <w:t>) și (5)</w:t>
      </w:r>
      <w:r w:rsidR="00D9623B">
        <w:rPr>
          <w:bCs/>
          <w:lang w:val="ro-MD" w:eastAsia="ru-RU"/>
        </w:rPr>
        <w:t>,</w:t>
      </w:r>
      <w:r w:rsidR="009C3ECF">
        <w:rPr>
          <w:bCs/>
          <w:lang w:val="ro-MD" w:eastAsia="ru-RU"/>
        </w:rPr>
        <w:t xml:space="preserve"> </w:t>
      </w:r>
      <w:r w:rsidR="007309DC">
        <w:rPr>
          <w:bCs/>
          <w:lang w:val="ro-MD" w:eastAsia="ru-RU"/>
        </w:rPr>
        <w:t>art.</w:t>
      </w:r>
      <w:r w:rsidR="009C3ECF">
        <w:rPr>
          <w:bCs/>
          <w:lang w:val="ro-MD" w:eastAsia="ru-RU"/>
        </w:rPr>
        <w:t>94</w:t>
      </w:r>
      <w:r w:rsidR="006F2964">
        <w:rPr>
          <w:bCs/>
          <w:lang w:val="ro-MD" w:eastAsia="ru-RU"/>
        </w:rPr>
        <w:t>)</w:t>
      </w:r>
      <w:r w:rsidR="00B75F12" w:rsidRPr="00B75F12">
        <w:rPr>
          <w:bCs/>
          <w:lang w:val="ro-MD" w:eastAsia="ru-RU"/>
        </w:rPr>
        <w:t xml:space="preserve"> </w:t>
      </w:r>
      <w:r w:rsidR="00B75F12" w:rsidRPr="008D6E78">
        <w:rPr>
          <w:b/>
          <w:lang w:val="ro-MD" w:eastAsia="ru-RU"/>
        </w:rPr>
        <w:t>Regulamentul nr.575/2013</w:t>
      </w:r>
      <w:r w:rsidR="00B75F12" w:rsidRPr="00B75F12">
        <w:rPr>
          <w:bCs/>
          <w:lang w:val="ro-MD" w:eastAsia="ru-RU"/>
        </w:rPr>
        <w:t xml:space="preserve"> al Parlamentului European </w:t>
      </w:r>
      <w:r w:rsidR="00C3619D" w:rsidRPr="00B75F12">
        <w:rPr>
          <w:bCs/>
          <w:lang w:val="ro-MD" w:eastAsia="ru-RU"/>
        </w:rPr>
        <w:t>și</w:t>
      </w:r>
      <w:r w:rsidR="00B75F12" w:rsidRPr="00B75F12">
        <w:rPr>
          <w:bCs/>
          <w:lang w:val="ro-MD" w:eastAsia="ru-RU"/>
        </w:rPr>
        <w:t xml:space="preserve"> al Consiliului din 26 iunie 2013 privind </w:t>
      </w:r>
      <w:r w:rsidR="00C3619D" w:rsidRPr="00B75F12">
        <w:rPr>
          <w:bCs/>
          <w:lang w:val="ro-MD" w:eastAsia="ru-RU"/>
        </w:rPr>
        <w:t>cerințele</w:t>
      </w:r>
      <w:r w:rsidR="00B75F12" w:rsidRPr="00B75F12">
        <w:rPr>
          <w:bCs/>
          <w:lang w:val="ro-MD" w:eastAsia="ru-RU"/>
        </w:rPr>
        <w:t xml:space="preserve"> </w:t>
      </w:r>
      <w:r w:rsidR="00C3619D" w:rsidRPr="00B75F12">
        <w:rPr>
          <w:bCs/>
          <w:lang w:val="ro-MD" w:eastAsia="ru-RU"/>
        </w:rPr>
        <w:t>prudențiale</w:t>
      </w:r>
      <w:r w:rsidR="00B75F12" w:rsidRPr="00B75F12">
        <w:rPr>
          <w:bCs/>
          <w:lang w:val="ro-MD" w:eastAsia="ru-RU"/>
        </w:rPr>
        <w:t xml:space="preserve"> pentru </w:t>
      </w:r>
      <w:r w:rsidR="00C3619D" w:rsidRPr="00B75F12">
        <w:rPr>
          <w:bCs/>
          <w:lang w:val="ro-MD" w:eastAsia="ru-RU"/>
        </w:rPr>
        <w:t>instituțiile</w:t>
      </w:r>
      <w:r w:rsidR="00B75F12" w:rsidRPr="00B75F12">
        <w:rPr>
          <w:bCs/>
          <w:lang w:val="ro-MD" w:eastAsia="ru-RU"/>
        </w:rPr>
        <w:t xml:space="preserve"> de credit </w:t>
      </w:r>
      <w:r w:rsidR="007309DC" w:rsidRPr="00B75F12">
        <w:rPr>
          <w:bCs/>
          <w:lang w:val="ro-MD" w:eastAsia="ru-RU"/>
        </w:rPr>
        <w:t>și</w:t>
      </w:r>
      <w:r w:rsidR="00B75F12" w:rsidRPr="00B75F12">
        <w:rPr>
          <w:bCs/>
          <w:lang w:val="ro-MD" w:eastAsia="ru-RU"/>
        </w:rPr>
        <w:t xml:space="preserve"> de modificare a Regulamentului (UE) nr.648/2012, publicat în Jurnalul Oficial al Uniunii Europene L 176 din 27 iunie 2013, CELEX: 32013R0575, </w:t>
      </w:r>
      <w:r w:rsidR="007309DC" w:rsidRPr="00B75F12">
        <w:rPr>
          <w:bCs/>
          <w:lang w:val="ro-MD" w:eastAsia="ru-RU"/>
        </w:rPr>
        <w:t>așa</w:t>
      </w:r>
      <w:r w:rsidR="00B75F12" w:rsidRPr="00B75F12">
        <w:rPr>
          <w:bCs/>
          <w:lang w:val="ro-MD" w:eastAsia="ru-RU"/>
        </w:rPr>
        <w:t xml:space="preserve"> cum a fost modificat ultima dată prin Regulamentul (UE) 2024/1623 al Parlamentului European </w:t>
      </w:r>
      <w:r w:rsidR="007309DC" w:rsidRPr="00B75F12">
        <w:rPr>
          <w:bCs/>
          <w:lang w:val="ro-MD" w:eastAsia="ru-RU"/>
        </w:rPr>
        <w:t>și</w:t>
      </w:r>
      <w:r w:rsidR="00B75F12" w:rsidRPr="00B75F12">
        <w:rPr>
          <w:bCs/>
          <w:lang w:val="ro-MD" w:eastAsia="ru-RU"/>
        </w:rPr>
        <w:t xml:space="preserve"> al Consiliului din 31 mai 2024</w:t>
      </w:r>
      <w:r>
        <w:rPr>
          <w:bCs/>
          <w:lang w:val="ro-MD" w:eastAsia="ru-RU"/>
        </w:rPr>
        <w:t>;</w:t>
      </w:r>
    </w:p>
    <w:p w14:paraId="4151D29E" w14:textId="1D500FC7" w:rsidR="00BD457E" w:rsidRDefault="00E919A6" w:rsidP="0083387E">
      <w:pPr>
        <w:tabs>
          <w:tab w:val="left" w:pos="1134"/>
        </w:tabs>
        <w:ind w:firstLine="567"/>
        <w:jc w:val="both"/>
        <w:rPr>
          <w:bCs/>
          <w:lang w:val="ro-MD" w:eastAsia="ru-RU"/>
        </w:rPr>
      </w:pPr>
      <w:r>
        <w:rPr>
          <w:bCs/>
          <w:lang w:val="ro-MD" w:eastAsia="ru-RU"/>
        </w:rPr>
        <w:t xml:space="preserve">- </w:t>
      </w:r>
      <w:r w:rsidR="008D6E78" w:rsidRPr="008D6E78">
        <w:rPr>
          <w:b/>
          <w:lang w:val="ro-MD" w:eastAsia="ru-RU"/>
        </w:rPr>
        <w:t>transpune parțial</w:t>
      </w:r>
      <w:r w:rsidR="008D6E78">
        <w:rPr>
          <w:bCs/>
          <w:lang w:val="ro-MD" w:eastAsia="ru-RU"/>
        </w:rPr>
        <w:t xml:space="preserve"> (transpune </w:t>
      </w:r>
      <w:r w:rsidR="00486784">
        <w:rPr>
          <w:bCs/>
          <w:lang w:val="ro-MD" w:eastAsia="ru-RU"/>
        </w:rPr>
        <w:t xml:space="preserve">art.4-7, art.8, art.9, </w:t>
      </w:r>
      <w:r w:rsidR="007919F6">
        <w:rPr>
          <w:bCs/>
          <w:lang w:val="ro-MD" w:eastAsia="ru-RU"/>
        </w:rPr>
        <w:t xml:space="preserve">art.12, </w:t>
      </w:r>
      <w:r w:rsidR="00124994">
        <w:rPr>
          <w:bCs/>
          <w:lang w:val="ro-MD" w:eastAsia="ru-RU"/>
        </w:rPr>
        <w:t xml:space="preserve">13a, </w:t>
      </w:r>
      <w:r w:rsidR="00BD457E">
        <w:rPr>
          <w:bCs/>
          <w:lang w:val="ro-MD" w:eastAsia="ru-RU"/>
        </w:rPr>
        <w:t>art. 20</w:t>
      </w:r>
      <w:r w:rsidR="008D6E78">
        <w:rPr>
          <w:bCs/>
          <w:lang w:val="ro-MD" w:eastAsia="ru-RU"/>
        </w:rPr>
        <w:t xml:space="preserve"> </w:t>
      </w:r>
      <w:r w:rsidR="00BD457E">
        <w:rPr>
          <w:bCs/>
          <w:lang w:val="ro-MD" w:eastAsia="ru-RU"/>
        </w:rPr>
        <w:t>(2)</w:t>
      </w:r>
      <w:r w:rsidR="00490BDA">
        <w:rPr>
          <w:bCs/>
          <w:lang w:val="ro-MD" w:eastAsia="ru-RU"/>
        </w:rPr>
        <w:t xml:space="preserve">, </w:t>
      </w:r>
      <w:r w:rsidR="00486784">
        <w:rPr>
          <w:bCs/>
          <w:lang w:val="ro-MD" w:eastAsia="ru-RU"/>
        </w:rPr>
        <w:t xml:space="preserve">art.21, </w:t>
      </w:r>
      <w:r w:rsidR="00490BDA">
        <w:rPr>
          <w:bCs/>
          <w:lang w:val="ro-MD" w:eastAsia="ru-RU"/>
        </w:rPr>
        <w:t>art25</w:t>
      </w:r>
      <w:r w:rsidR="005320DD">
        <w:rPr>
          <w:bCs/>
          <w:lang w:val="ro-MD" w:eastAsia="ru-RU"/>
        </w:rPr>
        <w:t xml:space="preserve">, </w:t>
      </w:r>
      <w:r w:rsidR="00486784">
        <w:rPr>
          <w:bCs/>
          <w:lang w:val="ro-MD" w:eastAsia="ru-RU"/>
        </w:rPr>
        <w:t xml:space="preserve">art.26, </w:t>
      </w:r>
      <w:r w:rsidR="00D9247F">
        <w:rPr>
          <w:bCs/>
          <w:lang w:val="ro-MD" w:eastAsia="ru-RU"/>
        </w:rPr>
        <w:t>art.30 (1) și (3),</w:t>
      </w:r>
      <w:r w:rsidR="00C3159B">
        <w:rPr>
          <w:bCs/>
          <w:lang w:val="ro-MD" w:eastAsia="ru-RU"/>
        </w:rPr>
        <w:t xml:space="preserve"> art.30a, art.30b, art.31, </w:t>
      </w:r>
      <w:r w:rsidR="00D9247F">
        <w:rPr>
          <w:bCs/>
          <w:lang w:val="ro-MD" w:eastAsia="ru-RU"/>
        </w:rPr>
        <w:t>art.</w:t>
      </w:r>
      <w:r w:rsidR="005320DD">
        <w:rPr>
          <w:bCs/>
          <w:lang w:val="ro-MD" w:eastAsia="ru-RU"/>
        </w:rPr>
        <w:t xml:space="preserve">32a, </w:t>
      </w:r>
      <w:r w:rsidR="00D9247F">
        <w:rPr>
          <w:bCs/>
          <w:lang w:val="ro-MD" w:eastAsia="ru-RU"/>
        </w:rPr>
        <w:t>art.</w:t>
      </w:r>
      <w:r w:rsidR="00A74052">
        <w:rPr>
          <w:bCs/>
          <w:lang w:val="ro-MD" w:eastAsia="ru-RU"/>
        </w:rPr>
        <w:t>34a</w:t>
      </w:r>
      <w:r w:rsidR="00D9247F">
        <w:rPr>
          <w:bCs/>
          <w:lang w:val="ro-MD" w:eastAsia="ru-RU"/>
        </w:rPr>
        <w:t>)</w:t>
      </w:r>
      <w:r w:rsidR="00BD457E">
        <w:rPr>
          <w:bCs/>
          <w:lang w:val="ro-MD" w:eastAsia="ru-RU"/>
        </w:rPr>
        <w:t xml:space="preserve"> </w:t>
      </w:r>
      <w:bookmarkStart w:id="0" w:name="_Hlk222475958"/>
      <w:r w:rsidR="00BD457E" w:rsidRPr="00D9247F">
        <w:rPr>
          <w:b/>
          <w:lang w:val="ro-MD" w:eastAsia="ru-RU"/>
        </w:rPr>
        <w:t>Regulamentul delegat (UE) nr.241/2014</w:t>
      </w:r>
      <w:r w:rsidR="00D554FF">
        <w:rPr>
          <w:bCs/>
          <w:lang w:val="ro-MD" w:eastAsia="ru-RU"/>
        </w:rPr>
        <w:t xml:space="preserve"> </w:t>
      </w:r>
      <w:r w:rsidR="00D554FF" w:rsidRPr="00D554FF">
        <w:rPr>
          <w:bCs/>
          <w:lang w:val="ro-MD" w:eastAsia="ru-RU"/>
        </w:rPr>
        <w:t>al Comisiei din 7 ianuarie 2014 de completare a Regulamentului (UE) nr. 575/2013 al Parlamentului European și al Consiliului cu privire la standardele tehnice de reglementare pentru cerințele privind fondurile proprii și pasivele eligibile aplicabile instituțiilor</w:t>
      </w:r>
      <w:bookmarkEnd w:id="0"/>
      <w:r w:rsidR="00D554FF">
        <w:rPr>
          <w:bCs/>
          <w:lang w:val="ro-MD" w:eastAsia="ru-RU"/>
        </w:rPr>
        <w:t xml:space="preserve">, </w:t>
      </w:r>
      <w:r w:rsidR="00D554FF" w:rsidRPr="00B75F12">
        <w:rPr>
          <w:bCs/>
          <w:lang w:val="ro-MD" w:eastAsia="ru-RU"/>
        </w:rPr>
        <w:t>publicat în Jurnalul Oficial al Uniunii Europene</w:t>
      </w:r>
      <w:r w:rsidR="00D554FF">
        <w:rPr>
          <w:bCs/>
          <w:lang w:val="ro-MD" w:eastAsia="ru-RU"/>
        </w:rPr>
        <w:t xml:space="preserve"> L 074 din 14 martie 2014</w:t>
      </w:r>
      <w:r w:rsidR="006978F7">
        <w:rPr>
          <w:bCs/>
          <w:lang w:val="ro-MD" w:eastAsia="ru-RU"/>
        </w:rPr>
        <w:t>, CELEX:</w:t>
      </w:r>
      <w:r w:rsidR="006978F7" w:rsidRPr="006978F7">
        <w:t xml:space="preserve"> </w:t>
      </w:r>
      <w:r w:rsidR="00D9247F">
        <w:rPr>
          <w:bCs/>
          <w:lang w:val="ro-MD" w:eastAsia="ru-RU"/>
        </w:rPr>
        <w:t>3</w:t>
      </w:r>
      <w:r w:rsidR="006978F7" w:rsidRPr="006978F7">
        <w:rPr>
          <w:bCs/>
          <w:lang w:val="ro-MD" w:eastAsia="ru-RU"/>
        </w:rPr>
        <w:t>2014R0241</w:t>
      </w:r>
      <w:r w:rsidR="006978F7">
        <w:rPr>
          <w:bCs/>
          <w:lang w:val="ro-MD" w:eastAsia="ru-RU"/>
        </w:rPr>
        <w:t xml:space="preserve">, </w:t>
      </w:r>
      <w:r w:rsidR="006978F7" w:rsidRPr="006978F7">
        <w:rPr>
          <w:bCs/>
          <w:lang w:val="ro-MD" w:eastAsia="ru-RU"/>
        </w:rPr>
        <w:t>așa cum a fost modificat ultima dată prin Regulamentul (UE)</w:t>
      </w:r>
      <w:r w:rsidR="006978F7">
        <w:rPr>
          <w:bCs/>
          <w:lang w:val="ro-MD" w:eastAsia="ru-RU"/>
        </w:rPr>
        <w:t xml:space="preserve"> 2023/827 </w:t>
      </w:r>
      <w:r w:rsidR="006978F7" w:rsidRPr="006978F7">
        <w:rPr>
          <w:bCs/>
          <w:lang w:val="ro-MD" w:eastAsia="ru-RU"/>
        </w:rPr>
        <w:t>al Comisiei din 11 octombrie 2022</w:t>
      </w:r>
      <w:r>
        <w:rPr>
          <w:bCs/>
          <w:lang w:val="ro-MD" w:eastAsia="ru-RU"/>
        </w:rPr>
        <w:t>;</w:t>
      </w:r>
    </w:p>
    <w:p w14:paraId="7756F308" w14:textId="19EA6800" w:rsidR="00E92D5D" w:rsidRPr="001537B3" w:rsidRDefault="00E919A6" w:rsidP="00F96EF1">
      <w:pPr>
        <w:tabs>
          <w:tab w:val="left" w:pos="1134"/>
        </w:tabs>
        <w:ind w:firstLine="567"/>
        <w:jc w:val="both"/>
        <w:rPr>
          <w:bCs/>
          <w:lang w:val="ro-MD" w:eastAsia="ru-RU"/>
        </w:rPr>
      </w:pPr>
      <w:r>
        <w:rPr>
          <w:bCs/>
          <w:lang w:val="ro-MD" w:eastAsia="ru-RU"/>
        </w:rPr>
        <w:t xml:space="preserve">- </w:t>
      </w:r>
      <w:bookmarkStart w:id="1" w:name="_Hlk207097062"/>
      <w:r w:rsidR="00D9247F" w:rsidRPr="008D6E78">
        <w:rPr>
          <w:b/>
          <w:lang w:val="ro-MD" w:eastAsia="ru-RU"/>
        </w:rPr>
        <w:t xml:space="preserve">transpune </w:t>
      </w:r>
      <w:r w:rsidR="00E92D5D" w:rsidRPr="00D9247F">
        <w:rPr>
          <w:b/>
          <w:lang w:val="ro-MD" w:eastAsia="ru-RU"/>
        </w:rPr>
        <w:t>Regulamentul delegat (UE) nr. 523/2014</w:t>
      </w:r>
      <w:r w:rsidR="00E92D5D" w:rsidRPr="00E92D5D">
        <w:rPr>
          <w:bCs/>
          <w:lang w:val="ro-MD" w:eastAsia="ru-RU"/>
        </w:rPr>
        <w:t xml:space="preserve"> al Comisiei din 12 martie 2014 de completare a Regulamentului (UE) nr. 575/2013 al Parlamentului European și al Consiliului în ceea ce privește standardele tehnice de reglementare pentru stabilirea a ceea ce constituie legătura strânsă dintre valoarea obligațiunilor garantate ale unei instituții și valoarea activelor instituției</w:t>
      </w:r>
      <w:r w:rsidR="00D554FF">
        <w:rPr>
          <w:bCs/>
          <w:lang w:val="ro-MD" w:eastAsia="ru-RU"/>
        </w:rPr>
        <w:t xml:space="preserve">, </w:t>
      </w:r>
      <w:r w:rsidR="007D6745" w:rsidRPr="00B75F12">
        <w:rPr>
          <w:bCs/>
          <w:lang w:val="ro-MD" w:eastAsia="ru-RU"/>
        </w:rPr>
        <w:t xml:space="preserve">publicat în </w:t>
      </w:r>
      <w:r w:rsidR="007D6745" w:rsidRPr="001537B3">
        <w:rPr>
          <w:bCs/>
          <w:lang w:val="ro-MD" w:eastAsia="ru-RU"/>
        </w:rPr>
        <w:t xml:space="preserve">Jurnalul Oficial al Uniunii Europene L 148 din 20 mai 2014, </w:t>
      </w:r>
      <w:r w:rsidR="00D554FF" w:rsidRPr="001537B3">
        <w:rPr>
          <w:bCs/>
          <w:lang w:val="ro-MD" w:eastAsia="ru-RU"/>
        </w:rPr>
        <w:t>CELEX:</w:t>
      </w:r>
      <w:r w:rsidR="00D554FF" w:rsidRPr="001537B3">
        <w:t xml:space="preserve"> </w:t>
      </w:r>
      <w:r w:rsidR="00D554FF" w:rsidRPr="001537B3">
        <w:rPr>
          <w:bCs/>
          <w:lang w:val="ro-MD" w:eastAsia="ru-RU"/>
        </w:rPr>
        <w:t>32014R0523</w:t>
      </w:r>
      <w:bookmarkEnd w:id="1"/>
      <w:r w:rsidRPr="001537B3">
        <w:rPr>
          <w:bCs/>
          <w:lang w:val="ro-MD" w:eastAsia="ru-RU"/>
        </w:rPr>
        <w:t>.</w:t>
      </w:r>
    </w:p>
    <w:p w14:paraId="430C87B4" w14:textId="65AD7F7D" w:rsidR="001537B3" w:rsidRPr="001537B3" w:rsidRDefault="00E02911" w:rsidP="001537B3">
      <w:pPr>
        <w:pStyle w:val="ListParagraph"/>
        <w:numPr>
          <w:ilvl w:val="0"/>
          <w:numId w:val="27"/>
        </w:numPr>
        <w:tabs>
          <w:tab w:val="left" w:pos="0"/>
        </w:tabs>
        <w:spacing w:before="80" w:after="80"/>
        <w:ind w:left="0" w:firstLine="567"/>
        <w:contextualSpacing w:val="0"/>
        <w:jc w:val="both"/>
        <w:rPr>
          <w:lang w:val="ro-MD"/>
        </w:rPr>
      </w:pPr>
      <w:r w:rsidRPr="001537B3">
        <w:rPr>
          <w:lang w:val="ro-MD"/>
        </w:rPr>
        <w:t xml:space="preserve">Punctul </w:t>
      </w:r>
      <w:r>
        <w:rPr>
          <w:lang w:val="ro-MD"/>
        </w:rPr>
        <w:t xml:space="preserve">7 din </w:t>
      </w:r>
      <w:r w:rsidR="001537B3" w:rsidRPr="001537B3">
        <w:rPr>
          <w:lang w:val="ro-MD"/>
        </w:rPr>
        <w:t xml:space="preserve">Regulamentul cu privire la clasificarea activelor și angajamentelor condiționale, aprobat prin Hotărârea Consiliului de administrație al Băncii Naționale a Moldovei nr.231/2011 (Monitorul Oficial al Republicii Moldova, 2011, nr.216-221, art.2007), înregistrat la Ministerul Justiției al Republicii Moldova </w:t>
      </w:r>
      <w:r w:rsidRPr="001537B3">
        <w:rPr>
          <w:lang w:val="ro-MD"/>
        </w:rPr>
        <w:t>cu nr.856</w:t>
      </w:r>
      <w:r>
        <w:rPr>
          <w:lang w:val="ro-MD"/>
        </w:rPr>
        <w:t xml:space="preserve"> </w:t>
      </w:r>
      <w:r w:rsidR="001537B3" w:rsidRPr="001537B3">
        <w:rPr>
          <w:lang w:val="ro-MD"/>
        </w:rPr>
        <w:t xml:space="preserve">la 1 decembrie 2011, se completează cu textul „ținând cont </w:t>
      </w:r>
      <w:r w:rsidR="001537B3" w:rsidRPr="001537B3">
        <w:rPr>
          <w:lang w:val="ro-MD"/>
        </w:rPr>
        <w:lastRenderedPageBreak/>
        <w:t>de</w:t>
      </w:r>
      <w:r w:rsidR="006101D4">
        <w:rPr>
          <w:lang w:val="ro-MD"/>
        </w:rPr>
        <w:t xml:space="preserve"> </w:t>
      </w:r>
      <w:r w:rsidR="001537B3" w:rsidRPr="001537B3">
        <w:rPr>
          <w:lang w:val="ro-MD"/>
        </w:rPr>
        <w:t>expuneril</w:t>
      </w:r>
      <w:r w:rsidR="006101D4">
        <w:rPr>
          <w:lang w:val="ro-MD"/>
        </w:rPr>
        <w:t>e</w:t>
      </w:r>
      <w:r w:rsidR="001537B3" w:rsidRPr="001537B3">
        <w:rPr>
          <w:lang w:val="ro-MD"/>
        </w:rPr>
        <w:t xml:space="preserve"> neperformante </w:t>
      </w:r>
      <w:r w:rsidR="006101D4" w:rsidRPr="001537B3">
        <w:rPr>
          <w:lang w:val="ro-MD"/>
        </w:rPr>
        <w:t>dedu</w:t>
      </w:r>
      <w:r w:rsidR="006101D4">
        <w:rPr>
          <w:lang w:val="ro-MD"/>
        </w:rPr>
        <w:t>se</w:t>
      </w:r>
      <w:r w:rsidR="006101D4" w:rsidRPr="001537B3">
        <w:rPr>
          <w:lang w:val="ro-MD"/>
        </w:rPr>
        <w:t xml:space="preserve"> </w:t>
      </w:r>
      <w:r w:rsidR="001537B3" w:rsidRPr="001537B3">
        <w:rPr>
          <w:lang w:val="ro-MD"/>
        </w:rPr>
        <w:t xml:space="preserve">conform Regulamentului </w:t>
      </w:r>
      <w:r>
        <w:rPr>
          <w:lang w:val="ro-MD"/>
        </w:rPr>
        <w:t>cu privire la fondurile proprii ale băncilor și cerințelor de capital, aprobat prin Hotărârea</w:t>
      </w:r>
      <w:r>
        <w:rPr>
          <w:lang w:val="ro-RO"/>
        </w:rPr>
        <w:t xml:space="preserve"> Comitetului executiv al Băncii Naționale a Moldovei </w:t>
      </w:r>
      <w:r w:rsidR="001537B3" w:rsidRPr="001537B3">
        <w:rPr>
          <w:lang w:val="ro-MD"/>
        </w:rPr>
        <w:t>nr.109/2018”.</w:t>
      </w:r>
    </w:p>
    <w:p w14:paraId="1FBEC95A" w14:textId="7AD4A675" w:rsidR="00C035A5" w:rsidRPr="0034750F" w:rsidRDefault="00226E79" w:rsidP="00F96EF1">
      <w:pPr>
        <w:pStyle w:val="ListParagraph"/>
        <w:numPr>
          <w:ilvl w:val="0"/>
          <w:numId w:val="27"/>
        </w:numPr>
        <w:tabs>
          <w:tab w:val="left" w:pos="567"/>
          <w:tab w:val="left" w:pos="720"/>
        </w:tabs>
        <w:spacing w:before="80"/>
        <w:ind w:left="0" w:firstLine="567"/>
        <w:jc w:val="both"/>
        <w:rPr>
          <w:lang w:val="ro-MD"/>
        </w:rPr>
      </w:pPr>
      <w:bookmarkStart w:id="2" w:name="_Hlk168992658"/>
      <w:r>
        <w:rPr>
          <w:lang w:val="ro-MD"/>
        </w:rPr>
        <w:t xml:space="preserve">Hotărârea </w:t>
      </w:r>
      <w:r w:rsidRPr="0034750F">
        <w:rPr>
          <w:color w:val="000000" w:themeColor="text1"/>
          <w:lang w:val="ro-MD" w:eastAsia="ru-RU"/>
        </w:rPr>
        <w:t>Comitetului executiv al B</w:t>
      </w:r>
      <w:r>
        <w:rPr>
          <w:color w:val="000000" w:themeColor="text1"/>
          <w:lang w:val="ro-MD" w:eastAsia="ru-RU"/>
        </w:rPr>
        <w:t>ăncii Naționale a Moldovei nr.10</w:t>
      </w:r>
      <w:r w:rsidR="00775F56">
        <w:rPr>
          <w:color w:val="000000" w:themeColor="text1"/>
          <w:lang w:val="ro-MD" w:eastAsia="ru-RU"/>
        </w:rPr>
        <w:t>9</w:t>
      </w:r>
      <w:r>
        <w:rPr>
          <w:color w:val="000000" w:themeColor="text1"/>
          <w:lang w:val="ro-MD" w:eastAsia="ru-RU"/>
        </w:rPr>
        <w:t xml:space="preserve">/2018 cu privire </w:t>
      </w:r>
      <w:r w:rsidR="00400A54">
        <w:rPr>
          <w:color w:val="000000" w:themeColor="text1"/>
          <w:lang w:val="ro-MD" w:eastAsia="ru-RU"/>
        </w:rPr>
        <w:t xml:space="preserve">la aprobarea </w:t>
      </w:r>
      <w:r w:rsidR="00C035A5" w:rsidRPr="0034750F">
        <w:rPr>
          <w:lang w:val="ro-MD"/>
        </w:rPr>
        <w:t>Regulamentul</w:t>
      </w:r>
      <w:r w:rsidR="00400A54">
        <w:rPr>
          <w:lang w:val="ro-MD"/>
        </w:rPr>
        <w:t>ui</w:t>
      </w:r>
      <w:r w:rsidR="00123A40">
        <w:rPr>
          <w:lang w:val="ro-MD"/>
        </w:rPr>
        <w:t xml:space="preserve"> </w:t>
      </w:r>
      <w:r w:rsidR="0067578C">
        <w:rPr>
          <w:lang w:val="ro-MD"/>
        </w:rPr>
        <w:t xml:space="preserve">cu </w:t>
      </w:r>
      <w:r w:rsidR="00123A40">
        <w:rPr>
          <w:lang w:val="ro-MD"/>
        </w:rPr>
        <w:t>privi</w:t>
      </w:r>
      <w:r w:rsidR="0067578C">
        <w:rPr>
          <w:lang w:val="ro-MD"/>
        </w:rPr>
        <w:t xml:space="preserve">re la </w:t>
      </w:r>
      <w:r w:rsidR="00775F56">
        <w:rPr>
          <w:lang w:val="ro-MD"/>
        </w:rPr>
        <w:t>fondurile proprii</w:t>
      </w:r>
      <w:r w:rsidR="0067578C">
        <w:rPr>
          <w:lang w:val="ro-MD"/>
        </w:rPr>
        <w:t xml:space="preserve"> ale băncilor</w:t>
      </w:r>
      <w:r w:rsidR="00775F56" w:rsidRPr="00CA1F4A">
        <w:rPr>
          <w:lang w:val="ro-MD"/>
        </w:rPr>
        <w:t xml:space="preserve"> </w:t>
      </w:r>
      <w:r w:rsidR="00775F56" w:rsidRPr="00775F56">
        <w:rPr>
          <w:lang w:val="ro-MD"/>
        </w:rPr>
        <w:t>și cerințele de capital</w:t>
      </w:r>
      <w:r w:rsidR="00123A40">
        <w:rPr>
          <w:lang w:val="ro-MD"/>
        </w:rPr>
        <w:t xml:space="preserve"> </w:t>
      </w:r>
      <w:r w:rsidR="00646CFD" w:rsidRPr="0034750F">
        <w:rPr>
          <w:color w:val="000000" w:themeColor="text1"/>
          <w:lang w:val="ro-MD" w:eastAsia="ru-RU"/>
        </w:rPr>
        <w:t>(Monitorul Oficial al Republicii Moldova, 201</w:t>
      </w:r>
      <w:r w:rsidR="0067578C">
        <w:rPr>
          <w:color w:val="000000" w:themeColor="text1"/>
          <w:lang w:val="ro-MD" w:eastAsia="ru-RU"/>
        </w:rPr>
        <w:t>8</w:t>
      </w:r>
      <w:r w:rsidR="00646CFD" w:rsidRPr="0034750F">
        <w:rPr>
          <w:color w:val="000000" w:themeColor="text1"/>
          <w:lang w:val="ro-MD" w:eastAsia="ru-RU"/>
        </w:rPr>
        <w:t>, nr.1</w:t>
      </w:r>
      <w:r w:rsidR="0067578C">
        <w:rPr>
          <w:color w:val="000000" w:themeColor="text1"/>
          <w:lang w:val="ro-MD" w:eastAsia="ru-RU"/>
        </w:rPr>
        <w:t>83</w:t>
      </w:r>
      <w:r w:rsidR="00AB0827">
        <w:rPr>
          <w:color w:val="000000" w:themeColor="text1"/>
          <w:lang w:val="ro-MD" w:eastAsia="ru-RU"/>
        </w:rPr>
        <w:t>-</w:t>
      </w:r>
      <w:r w:rsidR="0067578C">
        <w:rPr>
          <w:color w:val="000000" w:themeColor="text1"/>
          <w:lang w:val="ro-MD" w:eastAsia="ru-RU"/>
        </w:rPr>
        <w:t>194</w:t>
      </w:r>
      <w:r w:rsidR="00646CFD" w:rsidRPr="0034750F">
        <w:rPr>
          <w:color w:val="000000" w:themeColor="text1"/>
          <w:lang w:val="ro-MD" w:eastAsia="ru-RU"/>
        </w:rPr>
        <w:t>, art.</w:t>
      </w:r>
      <w:r w:rsidR="00775F56">
        <w:rPr>
          <w:color w:val="000000" w:themeColor="text1"/>
          <w:lang w:val="ro-MD" w:eastAsia="ru-RU"/>
        </w:rPr>
        <w:t>89</w:t>
      </w:r>
      <w:r w:rsidR="0067578C">
        <w:rPr>
          <w:color w:val="000000" w:themeColor="text1"/>
          <w:lang w:val="ro-MD" w:eastAsia="ru-RU"/>
        </w:rPr>
        <w:t>9</w:t>
      </w:r>
      <w:r w:rsidR="00646CFD" w:rsidRPr="0034750F">
        <w:rPr>
          <w:color w:val="000000" w:themeColor="text1"/>
          <w:lang w:val="ro-MD" w:eastAsia="ru-RU"/>
        </w:rPr>
        <w:t>), înregistrată la Ministerul Justiției al Republicii Moldova cu nr.</w:t>
      </w:r>
      <w:r w:rsidR="0067578C">
        <w:rPr>
          <w:color w:val="000000" w:themeColor="text1"/>
          <w:lang w:val="ro-MD" w:eastAsia="ru-RU"/>
        </w:rPr>
        <w:t>133</w:t>
      </w:r>
      <w:r w:rsidR="00775F56">
        <w:rPr>
          <w:color w:val="000000" w:themeColor="text1"/>
          <w:lang w:val="ro-MD" w:eastAsia="ru-RU"/>
        </w:rPr>
        <w:t>2</w:t>
      </w:r>
      <w:r w:rsidR="00646CFD" w:rsidRPr="0034750F">
        <w:rPr>
          <w:color w:val="000000" w:themeColor="text1"/>
          <w:lang w:val="ro-MD" w:eastAsia="ru-RU"/>
        </w:rPr>
        <w:t>/201</w:t>
      </w:r>
      <w:r w:rsidR="00895950" w:rsidRPr="0034750F">
        <w:rPr>
          <w:color w:val="000000" w:themeColor="text1"/>
          <w:lang w:val="ro-MD" w:eastAsia="ru-RU"/>
        </w:rPr>
        <w:t>8</w:t>
      </w:r>
      <w:r w:rsidR="00646CFD" w:rsidRPr="0034750F">
        <w:rPr>
          <w:color w:val="000000" w:themeColor="text1"/>
          <w:lang w:val="ro-MD" w:eastAsia="ru-RU"/>
        </w:rPr>
        <w:t>, se modifică după cum urmează:</w:t>
      </w:r>
    </w:p>
    <w:bookmarkEnd w:id="2"/>
    <w:p w14:paraId="640061A3" w14:textId="5D5ACFE3" w:rsidR="00400A54" w:rsidRDefault="00B822F7" w:rsidP="007A3C61">
      <w:pPr>
        <w:pStyle w:val="ListParagraph"/>
        <w:numPr>
          <w:ilvl w:val="1"/>
          <w:numId w:val="27"/>
        </w:numPr>
        <w:tabs>
          <w:tab w:val="left" w:pos="567"/>
          <w:tab w:val="left" w:pos="851"/>
        </w:tabs>
        <w:spacing w:before="80"/>
        <w:ind w:left="0" w:firstLine="567"/>
        <w:contextualSpacing w:val="0"/>
        <w:jc w:val="both"/>
        <w:rPr>
          <w:lang w:val="ro-MD"/>
        </w:rPr>
      </w:pPr>
      <w:r>
        <w:rPr>
          <w:lang w:val="ro-MD"/>
        </w:rPr>
        <w:t xml:space="preserve">În clauza </w:t>
      </w:r>
      <w:r w:rsidR="00400A54">
        <w:rPr>
          <w:lang w:val="ro-MD"/>
        </w:rPr>
        <w:t>de adoptare a</w:t>
      </w:r>
      <w:r w:rsidR="00C57A50">
        <w:rPr>
          <w:lang w:val="ro-MD"/>
        </w:rPr>
        <w:t xml:space="preserve"> hotărârii</w:t>
      </w:r>
      <w:r>
        <w:rPr>
          <w:lang w:val="ro-MD"/>
        </w:rPr>
        <w:t>, textul „</w:t>
      </w:r>
      <w:r w:rsidRPr="00B822F7">
        <w:rPr>
          <w:lang w:val="ro-MD"/>
        </w:rPr>
        <w:t>Legea nr.548-XIII din 21 iulie 1995</w:t>
      </w:r>
      <w:r>
        <w:rPr>
          <w:lang w:val="ro-MD"/>
        </w:rPr>
        <w:t xml:space="preserve">” </w:t>
      </w:r>
      <w:r w:rsidR="001D50FB">
        <w:rPr>
          <w:lang w:val="ro-MD"/>
        </w:rPr>
        <w:t>se substituie cu textul „</w:t>
      </w:r>
      <w:r w:rsidR="001D50FB" w:rsidRPr="00B822F7">
        <w:rPr>
          <w:lang w:val="ro-MD"/>
        </w:rPr>
        <w:t>Legea nr.548/1995</w:t>
      </w:r>
      <w:r w:rsidR="001D50FB">
        <w:rPr>
          <w:lang w:val="ro-MD"/>
        </w:rPr>
        <w:t xml:space="preserve">” </w:t>
      </w:r>
      <w:r>
        <w:rPr>
          <w:lang w:val="ro-MD"/>
        </w:rPr>
        <w:t>și textul „</w:t>
      </w:r>
      <w:r w:rsidRPr="00064598">
        <w:rPr>
          <w:lang w:val="ro-MD"/>
        </w:rPr>
        <w:t>Legea nr.202 din 6 octombrie 2017</w:t>
      </w:r>
      <w:r>
        <w:rPr>
          <w:lang w:val="ro-MD"/>
        </w:rPr>
        <w:t>” se substituie cu textul respectiv „Legea nr.202/2017”, iar cuvintele „ș</w:t>
      </w:r>
      <w:r w:rsidRPr="00B822F7">
        <w:rPr>
          <w:lang w:val="ro-MD"/>
        </w:rPr>
        <w:t>i completările</w:t>
      </w:r>
      <w:r>
        <w:rPr>
          <w:lang w:val="ro-MD"/>
        </w:rPr>
        <w:t>”</w:t>
      </w:r>
      <w:r w:rsidRPr="00B822F7">
        <w:rPr>
          <w:lang w:val="ro-MD"/>
        </w:rPr>
        <w:t xml:space="preserve"> se exclud;</w:t>
      </w:r>
    </w:p>
    <w:p w14:paraId="7522101F" w14:textId="77777777" w:rsidR="00F75A09" w:rsidRDefault="00F75A09" w:rsidP="00F75A09">
      <w:pPr>
        <w:pStyle w:val="ListParagraph"/>
        <w:numPr>
          <w:ilvl w:val="1"/>
          <w:numId w:val="27"/>
        </w:numPr>
        <w:tabs>
          <w:tab w:val="left" w:pos="567"/>
          <w:tab w:val="left" w:pos="851"/>
        </w:tabs>
        <w:spacing w:before="80"/>
        <w:ind w:left="0" w:firstLine="567"/>
        <w:contextualSpacing w:val="0"/>
        <w:jc w:val="both"/>
        <w:rPr>
          <w:lang w:val="ro-MD"/>
        </w:rPr>
      </w:pPr>
      <w:r>
        <w:rPr>
          <w:lang w:val="ro-MD"/>
        </w:rPr>
        <w:t>În tot cuprinsul regulamentului, textul „</w:t>
      </w:r>
      <w:r w:rsidRPr="005E213E">
        <w:rPr>
          <w:lang w:val="ro-MD"/>
        </w:rPr>
        <w:t>Legea nr.202 din 6 octombrie 2017 privind activitatea băncilor</w:t>
      </w:r>
      <w:r>
        <w:rPr>
          <w:lang w:val="ro-MD"/>
        </w:rPr>
        <w:t>”, „</w:t>
      </w:r>
      <w:r w:rsidRPr="005E213E">
        <w:rPr>
          <w:lang w:val="ro-MD"/>
        </w:rPr>
        <w:t>Legea nr.202 din 6 octombrie 2017 cu privire la activitatea băncilor</w:t>
      </w:r>
      <w:r>
        <w:rPr>
          <w:lang w:val="ro-MD"/>
        </w:rPr>
        <w:t>”, „</w:t>
      </w:r>
      <w:r w:rsidRPr="005E213E">
        <w:rPr>
          <w:lang w:val="ro-MD"/>
        </w:rPr>
        <w:t>Legii nr.202 din 6 octombrie 2017 privind activitatea bancară</w:t>
      </w:r>
      <w:r>
        <w:rPr>
          <w:lang w:val="ro-MD"/>
        </w:rPr>
        <w:t>”, la orice formă gramaticală, se substituie cu textul „Legea nr.202/2017”, la forma gramaticală corespunzătoare.</w:t>
      </w:r>
    </w:p>
    <w:p w14:paraId="67801642" w14:textId="3318C0A1" w:rsidR="004F279E" w:rsidRDefault="007919F6" w:rsidP="007A3C61">
      <w:pPr>
        <w:pStyle w:val="ListParagraph"/>
        <w:numPr>
          <w:ilvl w:val="1"/>
          <w:numId w:val="27"/>
        </w:numPr>
        <w:tabs>
          <w:tab w:val="left" w:pos="567"/>
          <w:tab w:val="left" w:pos="851"/>
        </w:tabs>
        <w:spacing w:before="80"/>
        <w:ind w:left="0" w:firstLine="567"/>
        <w:contextualSpacing w:val="0"/>
        <w:jc w:val="both"/>
        <w:rPr>
          <w:lang w:val="ro-MD"/>
        </w:rPr>
      </w:pPr>
      <w:r>
        <w:rPr>
          <w:lang w:val="ro-MD"/>
        </w:rPr>
        <w:t>C</w:t>
      </w:r>
      <w:r w:rsidR="00DA2B2E" w:rsidRPr="00064598">
        <w:rPr>
          <w:lang w:val="ro-MD"/>
        </w:rPr>
        <w:t>lauza de armonizare</w:t>
      </w:r>
      <w:r>
        <w:rPr>
          <w:lang w:val="ro-MD"/>
        </w:rPr>
        <w:t xml:space="preserve"> va avea următorul cuprins</w:t>
      </w:r>
      <w:r w:rsidR="004F279E">
        <w:rPr>
          <w:lang w:val="ro-MD"/>
        </w:rPr>
        <w:t>:</w:t>
      </w:r>
    </w:p>
    <w:p w14:paraId="71B41D4F" w14:textId="39492B33" w:rsidR="007919F6" w:rsidRPr="007919F6" w:rsidRDefault="007919F6" w:rsidP="007919F6">
      <w:pPr>
        <w:tabs>
          <w:tab w:val="left" w:pos="567"/>
          <w:tab w:val="left" w:pos="851"/>
        </w:tabs>
        <w:spacing w:before="80"/>
        <w:jc w:val="both"/>
        <w:rPr>
          <w:lang w:val="ro-MD"/>
        </w:rPr>
      </w:pPr>
      <w:r>
        <w:rPr>
          <w:lang w:val="ro-MD"/>
        </w:rPr>
        <w:t>„</w:t>
      </w:r>
      <w:r w:rsidRPr="007919F6">
        <w:rPr>
          <w:lang w:val="ro-MD"/>
        </w:rPr>
        <w:t xml:space="preserve">- art.4 (1) pct.(102)-(104), pct.(107)-(114), pct.(117)-(120), pct.(122), pct.(126), pct.(128), art.25, art.26 (1)-(3),art.27 art.28, art.29, art.30, art.31, art.32, art.33-39, art.40, art.41-48, art.50-75, art.76, art.77-79, art.79a, art.81, art.82, art.84 alin (1), (3) și (5), art.85 alin (1), (3) și (5), art.86, art.87 alin (1) și (3), art.88, art.92-94 art.99 (1) din Regulamentul nr.575/2013 al Parlamentului European și al Consiliului din 26 iunie 2013 privind cerințele prudențiale pentru instituțiile de credit și firmele de investiții și de modificare a Regulamentului (UE) nr.648/2012, publicat în Jurnalul Oficial al Comunităților Europene </w:t>
      </w:r>
      <w:proofErr w:type="spellStart"/>
      <w:r w:rsidRPr="007919F6">
        <w:rPr>
          <w:lang w:val="ro-MD"/>
        </w:rPr>
        <w:t>nr.L</w:t>
      </w:r>
      <w:proofErr w:type="spellEnd"/>
      <w:r w:rsidRPr="007919F6">
        <w:rPr>
          <w:lang w:val="ro-MD"/>
        </w:rPr>
        <w:t xml:space="preserve"> 176 din 27 iunie 2013, astfel cum a fost modificat prin Regulamentul (UE) 2024/1623 al Parlamentului European și al Consiliului din 31 mai 2024 de modificare a Regulamentului (UE) nr. 575/2013 în ceea ce privește cerințele referitoare la riscul de credit, riscul de ajustare a evaluării creditului, riscul operațional, riscul de piață și în ceea ce privește pragul minim privind cerințele de capital;</w:t>
      </w:r>
    </w:p>
    <w:p w14:paraId="25D557A9" w14:textId="77777777" w:rsidR="007919F6" w:rsidRPr="007919F6" w:rsidRDefault="007919F6" w:rsidP="007919F6">
      <w:pPr>
        <w:tabs>
          <w:tab w:val="left" w:pos="567"/>
          <w:tab w:val="left" w:pos="851"/>
        </w:tabs>
        <w:spacing w:before="80"/>
        <w:jc w:val="both"/>
        <w:rPr>
          <w:lang w:val="ro-MD"/>
        </w:rPr>
      </w:pPr>
      <w:r w:rsidRPr="007919F6">
        <w:rPr>
          <w:lang w:val="ro-MD"/>
        </w:rPr>
        <w:t xml:space="preserve">- art.2-7, art.7a, art.7b (1), art.8, art.9, art.12-15a (1)-(2), art.15b-16 (1), art.20-23, art.24a (1), art.25-31, art.32a, art.33 și art.34a alin.(1), (3)-(7) din Regulamentul delegat (UE) nr.241/2014 al Comisiei din 7 ianuarie 2014 de completare a Regulamentului (UE) nr.575/2013 al Parlamentului European și al Consiliului cu privire la standardele tehnice de reglementare pentru cerințele de fonduri proprii în cazul instituțiilor, publicat în Jurnalul Oficial al Comunităților Europene </w:t>
      </w:r>
      <w:proofErr w:type="spellStart"/>
      <w:r w:rsidRPr="007919F6">
        <w:rPr>
          <w:lang w:val="ro-MD"/>
        </w:rPr>
        <w:t>nr.L</w:t>
      </w:r>
      <w:proofErr w:type="spellEnd"/>
      <w:r w:rsidRPr="007919F6">
        <w:rPr>
          <w:lang w:val="ro-MD"/>
        </w:rPr>
        <w:t xml:space="preserve"> 148/4 din 20 mai 2014; </w:t>
      </w:r>
    </w:p>
    <w:p w14:paraId="0490C0E5" w14:textId="5FB4EDB0" w:rsidR="007919F6" w:rsidRPr="007919F6" w:rsidRDefault="007919F6" w:rsidP="007919F6">
      <w:pPr>
        <w:tabs>
          <w:tab w:val="left" w:pos="567"/>
          <w:tab w:val="left" w:pos="851"/>
        </w:tabs>
        <w:spacing w:before="80"/>
        <w:jc w:val="both"/>
        <w:rPr>
          <w:lang w:val="ro-MD"/>
        </w:rPr>
      </w:pPr>
      <w:r w:rsidRPr="007919F6">
        <w:rPr>
          <w:lang w:val="ro-MD"/>
        </w:rPr>
        <w:t xml:space="preserve">- Regulamentul delegat (UE) 2015/923 al Comisiei din 11 martie 2015 de modificare a Regulamentului delegat (UE) nr.241/2014 de completare a Regulamentului (UE) nr.575/2013 al Parlamentului European și al Consiliului cu privire la standardele tehnice de reglementare pentru cerințele de fonduri proprii în cazul instituțiilor, publicat în Jurnalul Oficial al Comunităților Europene </w:t>
      </w:r>
      <w:proofErr w:type="spellStart"/>
      <w:r w:rsidRPr="007919F6">
        <w:rPr>
          <w:lang w:val="ro-MD"/>
        </w:rPr>
        <w:t>nr.L</w:t>
      </w:r>
      <w:proofErr w:type="spellEnd"/>
      <w:r w:rsidRPr="007919F6">
        <w:rPr>
          <w:lang w:val="ro-MD"/>
        </w:rPr>
        <w:t xml:space="preserve"> 135 din 2 iunie 2015</w:t>
      </w:r>
      <w:r w:rsidR="00C95510">
        <w:rPr>
          <w:lang w:val="ro-MD"/>
        </w:rPr>
        <w:t>;</w:t>
      </w:r>
    </w:p>
    <w:p w14:paraId="235ACC4D" w14:textId="34373847" w:rsidR="00825DEF" w:rsidRPr="007919F6" w:rsidRDefault="007919F6" w:rsidP="007919F6">
      <w:pPr>
        <w:tabs>
          <w:tab w:val="left" w:pos="567"/>
          <w:tab w:val="left" w:pos="851"/>
        </w:tabs>
        <w:spacing w:before="80"/>
        <w:jc w:val="both"/>
        <w:rPr>
          <w:lang w:val="ro-MD"/>
        </w:rPr>
      </w:pPr>
      <w:r w:rsidRPr="007919F6">
        <w:rPr>
          <w:lang w:val="ro-MD"/>
        </w:rPr>
        <w:t>- art.2 din Regulamentul delegat (UE) nr. 523/2014 al Comisiei din 12 martie 2014 de completare a Regulamentului (UE) nr. 575/2013 al Parlamentului European și al Consiliului în ceea ce privește standardele tehnice de reglementare pentru stabilirea a ceea ce constituie legătura strânsă dintre valoarea obligațiunilor garantate ale unei instituții și valoarea activelor instituției, publicat în Jurnalul Oficial al Uniunii Europene L 148 din 20 mai 2014, CELEX: 32014R0523.</w:t>
      </w:r>
      <w:r>
        <w:rPr>
          <w:lang w:val="ro-MD"/>
        </w:rPr>
        <w:t>”</w:t>
      </w:r>
      <w:r w:rsidR="004449F6">
        <w:rPr>
          <w:lang w:val="ro-MD"/>
        </w:rPr>
        <w:t>.</w:t>
      </w:r>
    </w:p>
    <w:p w14:paraId="54539E5B" w14:textId="42E0CC86" w:rsidR="00585B01" w:rsidRDefault="00585B01" w:rsidP="007A3C61">
      <w:pPr>
        <w:pStyle w:val="ListParagraph"/>
        <w:numPr>
          <w:ilvl w:val="1"/>
          <w:numId w:val="27"/>
        </w:numPr>
        <w:tabs>
          <w:tab w:val="left" w:pos="567"/>
          <w:tab w:val="left" w:pos="851"/>
        </w:tabs>
        <w:spacing w:before="80"/>
        <w:ind w:left="0" w:firstLine="567"/>
        <w:contextualSpacing w:val="0"/>
        <w:jc w:val="both"/>
        <w:rPr>
          <w:lang w:val="ro-MD"/>
        </w:rPr>
      </w:pPr>
      <w:r>
        <w:rPr>
          <w:lang w:val="ro-MD"/>
        </w:rPr>
        <w:t>La punctul 1</w:t>
      </w:r>
      <w:r w:rsidR="00EF6EC3">
        <w:rPr>
          <w:lang w:val="ro-MD"/>
        </w:rPr>
        <w:t>,</w:t>
      </w:r>
      <w:r>
        <w:rPr>
          <w:lang w:val="ro-MD"/>
        </w:rPr>
        <w:t xml:space="preserve"> cuvintele „</w:t>
      </w:r>
      <w:r w:rsidRPr="00585B01">
        <w:rPr>
          <w:lang w:val="ro-MD"/>
        </w:rPr>
        <w:t>în calculul fondurilor proprii</w:t>
      </w:r>
      <w:r>
        <w:rPr>
          <w:lang w:val="ro-MD"/>
        </w:rPr>
        <w:t>” se completează cu cuvintele „</w:t>
      </w:r>
      <w:r w:rsidRPr="00585B01">
        <w:rPr>
          <w:lang w:val="ro-MD"/>
        </w:rPr>
        <w:t>și pasivelor eligibile</w:t>
      </w:r>
      <w:r>
        <w:rPr>
          <w:lang w:val="ro-MD"/>
        </w:rPr>
        <w:t>”.</w:t>
      </w:r>
    </w:p>
    <w:p w14:paraId="26DBF7F9" w14:textId="4C3CCC5F" w:rsidR="00825DEF" w:rsidRDefault="00825DEF" w:rsidP="007A3C61">
      <w:pPr>
        <w:pStyle w:val="ListParagraph"/>
        <w:numPr>
          <w:ilvl w:val="1"/>
          <w:numId w:val="27"/>
        </w:numPr>
        <w:tabs>
          <w:tab w:val="left" w:pos="567"/>
          <w:tab w:val="left" w:pos="851"/>
        </w:tabs>
        <w:spacing w:before="80"/>
        <w:ind w:left="0" w:firstLine="567"/>
        <w:contextualSpacing w:val="0"/>
        <w:jc w:val="both"/>
        <w:rPr>
          <w:lang w:val="ro-MD"/>
        </w:rPr>
      </w:pPr>
      <w:r>
        <w:rPr>
          <w:lang w:val="ro-MD"/>
        </w:rPr>
        <w:t>La punctul 4:</w:t>
      </w:r>
    </w:p>
    <w:p w14:paraId="15F1A46C" w14:textId="75528C73" w:rsidR="002D789A" w:rsidRDefault="002D789A" w:rsidP="007A3C61">
      <w:pPr>
        <w:pStyle w:val="ListParagraph"/>
        <w:numPr>
          <w:ilvl w:val="2"/>
          <w:numId w:val="27"/>
        </w:numPr>
        <w:tabs>
          <w:tab w:val="left" w:pos="567"/>
          <w:tab w:val="left" w:pos="851"/>
        </w:tabs>
        <w:ind w:left="0" w:firstLine="567"/>
        <w:contextualSpacing w:val="0"/>
        <w:jc w:val="both"/>
        <w:rPr>
          <w:lang w:val="ro-MD"/>
        </w:rPr>
      </w:pPr>
      <w:r>
        <w:rPr>
          <w:lang w:val="ro-MD"/>
        </w:rPr>
        <w:lastRenderedPageBreak/>
        <w:t xml:space="preserve">textul „Legea </w:t>
      </w:r>
      <w:r w:rsidRPr="002D789A">
        <w:rPr>
          <w:lang w:val="ro-MD"/>
        </w:rPr>
        <w:t>nr. 202 din 6 octombrie 2017 privind activitatea băncilor” se substituie cu textul „Legea nr. 202/2017 privind activitatea băncilor (în continuare - Legea nr. 202/2017)”.</w:t>
      </w:r>
      <w:r>
        <w:rPr>
          <w:lang w:val="ro-MD"/>
        </w:rPr>
        <w:t>”</w:t>
      </w:r>
    </w:p>
    <w:p w14:paraId="13BB3603" w14:textId="58E31952" w:rsidR="000703D5" w:rsidRDefault="000703D5" w:rsidP="007A3C61">
      <w:pPr>
        <w:pStyle w:val="ListParagraph"/>
        <w:numPr>
          <w:ilvl w:val="2"/>
          <w:numId w:val="27"/>
        </w:numPr>
        <w:tabs>
          <w:tab w:val="left" w:pos="567"/>
          <w:tab w:val="left" w:pos="851"/>
        </w:tabs>
        <w:ind w:left="0" w:firstLine="567"/>
        <w:contextualSpacing w:val="0"/>
        <w:jc w:val="both"/>
        <w:rPr>
          <w:lang w:val="ro-MD"/>
        </w:rPr>
      </w:pPr>
      <w:r>
        <w:rPr>
          <w:lang w:val="ro-MD"/>
        </w:rPr>
        <w:t>După noțiunea „activele fondului de pensii cu beneficii determinate” se completează cu noțiunea „alte instrumente de capital” cu următorul cuprins:</w:t>
      </w:r>
    </w:p>
    <w:p w14:paraId="551D3013" w14:textId="38A819F4" w:rsidR="000703D5" w:rsidRPr="000703D5" w:rsidRDefault="000703D5" w:rsidP="000703D5">
      <w:pPr>
        <w:tabs>
          <w:tab w:val="left" w:pos="567"/>
          <w:tab w:val="left" w:pos="851"/>
        </w:tabs>
        <w:jc w:val="both"/>
        <w:rPr>
          <w:lang w:val="ro-MD"/>
        </w:rPr>
      </w:pPr>
      <w:r>
        <w:rPr>
          <w:lang w:val="ro-MD"/>
        </w:rPr>
        <w:t>„</w:t>
      </w:r>
      <w:r w:rsidRPr="000703D5">
        <w:rPr>
          <w:b/>
          <w:bCs/>
          <w:lang w:val="ro-MD"/>
        </w:rPr>
        <w:t>alte instrumente de capital</w:t>
      </w:r>
      <w:r w:rsidRPr="000703D5">
        <w:rPr>
          <w:lang w:val="ro-MD"/>
        </w:rPr>
        <w:t xml:space="preserve"> - instrumente de capital emise de entități din sectorul financiar care nu pot fi considerate drept instrumente de fonduri proprii de nivel 1 de bază, instrumente de fonduri proprii de nivel 1 suplimentar sau instrumente de fonduri proprii de nivel 2, elemente ale fondurilor proprii de nivel 1 specifice întreprinderilor de asigurare, elemente ale fondurilor proprii de nivel 1 suplimentar specifice întreprinderilor de asigurare, elemente ale fondurilor proprii de nivel 2 specifice întreprinderilor de asigurare sau elemente ale fondurilor proprii de nivel 3 specifice întreprinderilor de asigurare;</w:t>
      </w:r>
      <w:r>
        <w:rPr>
          <w:lang w:val="ro-MD"/>
        </w:rPr>
        <w:t>”;</w:t>
      </w:r>
    </w:p>
    <w:p w14:paraId="6ACFC0E6" w14:textId="68DA249B" w:rsidR="00825DEF" w:rsidRDefault="005829AF" w:rsidP="007A3C61">
      <w:pPr>
        <w:pStyle w:val="ListParagraph"/>
        <w:numPr>
          <w:ilvl w:val="2"/>
          <w:numId w:val="27"/>
        </w:numPr>
        <w:tabs>
          <w:tab w:val="left" w:pos="567"/>
          <w:tab w:val="left" w:pos="851"/>
        </w:tabs>
        <w:ind w:left="0" w:firstLine="567"/>
        <w:contextualSpacing w:val="0"/>
        <w:jc w:val="both"/>
        <w:rPr>
          <w:lang w:val="ro-MD"/>
        </w:rPr>
      </w:pPr>
      <w:r>
        <w:rPr>
          <w:lang w:val="ro-MD"/>
        </w:rPr>
        <w:t>n</w:t>
      </w:r>
      <w:r w:rsidR="00825DEF">
        <w:rPr>
          <w:lang w:val="ro-MD"/>
        </w:rPr>
        <w:t xml:space="preserve">oțiunea „deținere </w:t>
      </w:r>
      <w:r w:rsidR="00B251FC">
        <w:rPr>
          <w:lang w:val="ro-MD"/>
        </w:rPr>
        <w:t>in</w:t>
      </w:r>
      <w:r w:rsidR="00825DEF">
        <w:rPr>
          <w:lang w:val="ro-MD"/>
        </w:rPr>
        <w:t>directă</w:t>
      </w:r>
      <w:r>
        <w:rPr>
          <w:lang w:val="ro-MD"/>
        </w:rPr>
        <w:t>”</w:t>
      </w:r>
      <w:r w:rsidR="00825DEF">
        <w:rPr>
          <w:lang w:val="ro-MD"/>
        </w:rPr>
        <w:t xml:space="preserve"> va avea următorul cuprins:</w:t>
      </w:r>
    </w:p>
    <w:p w14:paraId="075AAE2D" w14:textId="3C1BF0B9" w:rsidR="00825DEF" w:rsidRPr="00825DEF" w:rsidRDefault="005829AF" w:rsidP="00825DEF">
      <w:pPr>
        <w:tabs>
          <w:tab w:val="left" w:pos="567"/>
          <w:tab w:val="left" w:pos="851"/>
        </w:tabs>
        <w:jc w:val="both"/>
        <w:rPr>
          <w:lang w:val="ro-MD"/>
        </w:rPr>
      </w:pPr>
      <w:r>
        <w:rPr>
          <w:lang w:val="ro-MD"/>
        </w:rPr>
        <w:t>„</w:t>
      </w:r>
      <w:r w:rsidRPr="005829AF">
        <w:rPr>
          <w:b/>
          <w:bCs/>
          <w:lang w:val="ro-MD"/>
        </w:rPr>
        <w:t>deținere indirectă</w:t>
      </w:r>
      <w:r w:rsidRPr="005829AF">
        <w:rPr>
          <w:lang w:val="ro-MD"/>
        </w:rPr>
        <w:t xml:space="preserve"> - orice expunere față de o entitate intermediară care deține o expunere față de instrumentele de capital emise de o entitate din sectorul financiar sau față de pasive</w:t>
      </w:r>
      <w:r w:rsidR="00EF6EC3">
        <w:rPr>
          <w:lang w:val="ro-MD"/>
        </w:rPr>
        <w:t>le</w:t>
      </w:r>
      <w:r w:rsidRPr="005829AF">
        <w:rPr>
          <w:lang w:val="ro-MD"/>
        </w:rPr>
        <w:t xml:space="preserve"> emise de o bancă în cazul căreia, dacă valoarea instrumentelor de capital emise de entitatea din sectorul financiar sau a pasivelor emise de bancă ar fi scoasă în afara bilanțului, pierderile înregistrate în consecință de respectiva bancă nu ar fi semnificativ diferite de pierderile pe care aceasta le-ar înregistra ca urmare a deținerii directe a acelor instrumente de capital emise de entitatea din sectorul financiar sau a acelor pasive emise de bancă</w:t>
      </w:r>
      <w:r>
        <w:rPr>
          <w:lang w:val="ro-MD"/>
        </w:rPr>
        <w:t>;”;</w:t>
      </w:r>
    </w:p>
    <w:p w14:paraId="6CEFEDDD" w14:textId="16EEB4F6" w:rsidR="00825DEF" w:rsidRDefault="00825DEF" w:rsidP="00825DEF">
      <w:pPr>
        <w:pStyle w:val="ListParagraph"/>
        <w:numPr>
          <w:ilvl w:val="2"/>
          <w:numId w:val="27"/>
        </w:numPr>
        <w:tabs>
          <w:tab w:val="left" w:pos="567"/>
          <w:tab w:val="left" w:pos="851"/>
        </w:tabs>
        <w:ind w:left="0" w:firstLine="567"/>
        <w:jc w:val="both"/>
        <w:rPr>
          <w:lang w:val="ro-MD"/>
        </w:rPr>
      </w:pPr>
      <w:r>
        <w:rPr>
          <w:lang w:val="ro-MD"/>
        </w:rPr>
        <w:t>la noțiunea „deținere sintetică” se completează cu cuvintele „</w:t>
      </w:r>
      <w:r w:rsidRPr="00825DEF">
        <w:rPr>
          <w:lang w:val="ro-MD"/>
        </w:rPr>
        <w:t>sau de valoarea pasivelor emise de o bancă</w:t>
      </w:r>
      <w:r>
        <w:rPr>
          <w:lang w:val="ro-MD"/>
        </w:rPr>
        <w:t>”;</w:t>
      </w:r>
    </w:p>
    <w:p w14:paraId="0A3D91E5" w14:textId="4615A47B" w:rsidR="00E0545C" w:rsidRDefault="00E0545C" w:rsidP="00825DEF">
      <w:pPr>
        <w:pStyle w:val="ListParagraph"/>
        <w:numPr>
          <w:ilvl w:val="2"/>
          <w:numId w:val="27"/>
        </w:numPr>
        <w:tabs>
          <w:tab w:val="left" w:pos="567"/>
          <w:tab w:val="left" w:pos="851"/>
        </w:tabs>
        <w:ind w:left="0" w:firstLine="567"/>
        <w:jc w:val="both"/>
        <w:rPr>
          <w:lang w:val="ro-MD"/>
        </w:rPr>
      </w:pPr>
      <w:r>
        <w:rPr>
          <w:lang w:val="ro-MD"/>
        </w:rPr>
        <w:t xml:space="preserve">la noțiunea „elemente care pot fi distribuite” textul „ , </w:t>
      </w:r>
      <w:r w:rsidRPr="00E0545C">
        <w:rPr>
          <w:lang w:val="ro-MD"/>
        </w:rPr>
        <w:t>în timp ce aceste pierderi și rezerve</w:t>
      </w:r>
      <w:r>
        <w:rPr>
          <w:lang w:val="ro-MD"/>
        </w:rPr>
        <w:t>” se substituie cu textul „ ; profiturile, pierderile și rezervele respective”</w:t>
      </w:r>
      <w:r w:rsidR="00FD7FBD">
        <w:rPr>
          <w:lang w:val="ro-MD"/>
        </w:rPr>
        <w:t>;</w:t>
      </w:r>
    </w:p>
    <w:p w14:paraId="02550FBB" w14:textId="5EA10D58" w:rsidR="005829AF" w:rsidRDefault="005829AF" w:rsidP="00825DEF">
      <w:pPr>
        <w:pStyle w:val="ListParagraph"/>
        <w:numPr>
          <w:ilvl w:val="2"/>
          <w:numId w:val="27"/>
        </w:numPr>
        <w:tabs>
          <w:tab w:val="left" w:pos="567"/>
          <w:tab w:val="left" w:pos="851"/>
        </w:tabs>
        <w:ind w:left="0" w:firstLine="567"/>
        <w:jc w:val="both"/>
        <w:rPr>
          <w:lang w:val="ro-MD"/>
        </w:rPr>
      </w:pPr>
      <w:r>
        <w:rPr>
          <w:lang w:val="ro-MD"/>
        </w:rPr>
        <w:t>după noțiunea „elemente care pot fi distribuite” se completează cu noțiun</w:t>
      </w:r>
      <w:r w:rsidR="00136F0B">
        <w:rPr>
          <w:lang w:val="ro-MD"/>
        </w:rPr>
        <w:t>ile „entitate de rezoluție”</w:t>
      </w:r>
      <w:r w:rsidR="000D7FD4">
        <w:rPr>
          <w:lang w:val="ro-MD"/>
        </w:rPr>
        <w:t>,</w:t>
      </w:r>
      <w:r>
        <w:rPr>
          <w:lang w:val="ro-MD"/>
        </w:rPr>
        <w:t xml:space="preserve"> „</w:t>
      </w:r>
      <w:r w:rsidRPr="005829AF">
        <w:rPr>
          <w:lang w:val="ro-MD"/>
        </w:rPr>
        <w:t>entitate specializată de restructurare a datoriei</w:t>
      </w:r>
      <w:r>
        <w:rPr>
          <w:lang w:val="ro-MD"/>
        </w:rPr>
        <w:t>”</w:t>
      </w:r>
      <w:r w:rsidR="000D7FD4">
        <w:rPr>
          <w:lang w:val="ro-MD"/>
        </w:rPr>
        <w:t xml:space="preserve"> și „grup de rezoluție”</w:t>
      </w:r>
      <w:r>
        <w:rPr>
          <w:lang w:val="ro-MD"/>
        </w:rPr>
        <w:t xml:space="preserve"> cu următorul cuprins:</w:t>
      </w:r>
    </w:p>
    <w:p w14:paraId="0BEC1678" w14:textId="675B14FE" w:rsidR="00136F0B" w:rsidRPr="00136F0B" w:rsidRDefault="005829AF" w:rsidP="00E97068">
      <w:pPr>
        <w:jc w:val="both"/>
        <w:rPr>
          <w:lang w:val="ro-RO" w:eastAsia="ro-MD"/>
        </w:rPr>
      </w:pPr>
      <w:r w:rsidRPr="00136F0B">
        <w:rPr>
          <w:lang w:val="ro-RO"/>
        </w:rPr>
        <w:t>„</w:t>
      </w:r>
      <w:bookmarkStart w:id="3" w:name="_Hlk206665208"/>
      <w:r w:rsidR="00136F0B" w:rsidRPr="00136F0B">
        <w:rPr>
          <w:b/>
          <w:bCs/>
          <w:lang w:val="ro-RO" w:eastAsia="ro-MD"/>
        </w:rPr>
        <w:t>entitate de rezoluție</w:t>
      </w:r>
      <w:r w:rsidR="00115B4D" w:rsidRPr="00115B4D">
        <w:t xml:space="preserve"> </w:t>
      </w:r>
      <w:r w:rsidR="00115B4D">
        <w:t xml:space="preserve">– o </w:t>
      </w:r>
      <w:r w:rsidR="00115B4D" w:rsidRPr="00115B4D">
        <w:rPr>
          <w:lang w:val="ro-RO"/>
        </w:rPr>
        <w:t>entitate de rezoluție</w:t>
      </w:r>
      <w:r w:rsidR="00115B4D">
        <w:t xml:space="preserve"> </w:t>
      </w:r>
      <w:r w:rsidR="00115B4D" w:rsidRPr="00115B4D">
        <w:rPr>
          <w:lang w:val="ro-RO"/>
        </w:rPr>
        <w:t>astfel cum este definit</w:t>
      </w:r>
      <w:r w:rsidR="00115B4D">
        <w:rPr>
          <w:lang w:val="ro-RO"/>
        </w:rPr>
        <w:t>ă</w:t>
      </w:r>
      <w:r w:rsidR="00115B4D" w:rsidRPr="00115B4D">
        <w:rPr>
          <w:lang w:val="ro-RO"/>
        </w:rPr>
        <w:t xml:space="preserve"> în</w:t>
      </w:r>
      <w:r w:rsidR="00115B4D" w:rsidRPr="00115B4D">
        <w:t xml:space="preserve"> </w:t>
      </w:r>
      <w:r w:rsidR="00115B4D" w:rsidRPr="00115B4D">
        <w:rPr>
          <w:lang w:val="ro-RO"/>
        </w:rPr>
        <w:t>Legea</w:t>
      </w:r>
      <w:r w:rsidR="00115B4D">
        <w:t xml:space="preserve"> nr.232/2016 </w:t>
      </w:r>
      <w:r w:rsidR="00115B4D" w:rsidRPr="00115B4D">
        <w:rPr>
          <w:lang w:val="ro-RO" w:eastAsia="ro-MD"/>
        </w:rPr>
        <w:t>privind redresarea și rezoluția băncilor (în continuare – „Legea nr.232/2016”)</w:t>
      </w:r>
      <w:r w:rsidR="00136F0B" w:rsidRPr="00136F0B">
        <w:rPr>
          <w:lang w:val="ro-RO" w:eastAsia="ro-MD"/>
        </w:rPr>
        <w:t>;</w:t>
      </w:r>
    </w:p>
    <w:p w14:paraId="204A6D97" w14:textId="62B234B4" w:rsidR="005829AF" w:rsidRPr="005829AF" w:rsidRDefault="005829AF" w:rsidP="00E0545C">
      <w:pPr>
        <w:jc w:val="both"/>
        <w:rPr>
          <w:lang w:val="ro-RO" w:eastAsia="ro-MD"/>
        </w:rPr>
      </w:pPr>
      <w:r w:rsidRPr="005829AF">
        <w:rPr>
          <w:b/>
          <w:bCs/>
          <w:lang w:val="ro-RO" w:eastAsia="ro-MD"/>
        </w:rPr>
        <w:t>entitate specializată de restructurarea datoriei</w:t>
      </w:r>
      <w:r w:rsidRPr="005829AF">
        <w:rPr>
          <w:lang w:val="ro-RO" w:eastAsia="ro-MD"/>
        </w:rPr>
        <w:t xml:space="preserve"> </w:t>
      </w:r>
      <w:bookmarkEnd w:id="3"/>
      <w:r w:rsidRPr="005829AF">
        <w:rPr>
          <w:lang w:val="ro-RO" w:eastAsia="ro-MD"/>
        </w:rPr>
        <w:t xml:space="preserve">- o bancă care, în cursul exercițiului financiar precedent, a îndeplinit </w:t>
      </w:r>
      <w:r w:rsidR="00F8576A">
        <w:rPr>
          <w:lang w:val="ro-RO" w:eastAsia="ro-MD"/>
        </w:rPr>
        <w:t>cumulativ</w:t>
      </w:r>
      <w:r w:rsidRPr="005829AF">
        <w:rPr>
          <w:lang w:val="ro-RO" w:eastAsia="ro-MD"/>
        </w:rPr>
        <w:t xml:space="preserve"> </w:t>
      </w:r>
      <w:r w:rsidR="00F8576A" w:rsidRPr="005829AF">
        <w:rPr>
          <w:lang w:val="ro-RO" w:eastAsia="ro-MD"/>
        </w:rPr>
        <w:t>următoare</w:t>
      </w:r>
      <w:r w:rsidR="00F8576A">
        <w:rPr>
          <w:lang w:val="ro-RO" w:eastAsia="ro-MD"/>
        </w:rPr>
        <w:t>le</w:t>
      </w:r>
      <w:r w:rsidR="00F8576A" w:rsidRPr="005829AF">
        <w:rPr>
          <w:lang w:val="ro-RO" w:eastAsia="ro-MD"/>
        </w:rPr>
        <w:t xml:space="preserve"> </w:t>
      </w:r>
      <w:r w:rsidRPr="005829AF">
        <w:rPr>
          <w:lang w:val="ro-RO" w:eastAsia="ro-MD"/>
        </w:rPr>
        <w:t>condiții atât pe bază individuală, cât și pe bază consolidată:</w:t>
      </w:r>
    </w:p>
    <w:p w14:paraId="625AEF6D" w14:textId="77777777" w:rsidR="005829AF" w:rsidRPr="005829AF" w:rsidRDefault="005829AF" w:rsidP="00E0545C">
      <w:pPr>
        <w:jc w:val="both"/>
        <w:rPr>
          <w:lang w:val="ro-RO" w:eastAsia="ro-MD"/>
        </w:rPr>
      </w:pPr>
      <w:r w:rsidRPr="005829AF">
        <w:rPr>
          <w:lang w:val="ro-RO" w:eastAsia="ro-MD"/>
        </w:rPr>
        <w:t>1) activitatea principală a băncii este achiziționarea, gestionarea și restructurarea expunerilor neperformante în conformitate cu un proces decizional intern clar și eficace pus în aplicare de organul său de conducere;</w:t>
      </w:r>
    </w:p>
    <w:p w14:paraId="55A023EE" w14:textId="0120519C" w:rsidR="005829AF" w:rsidRPr="005829AF" w:rsidRDefault="005829AF" w:rsidP="00E0545C">
      <w:pPr>
        <w:jc w:val="both"/>
        <w:rPr>
          <w:lang w:val="ro-RO" w:eastAsia="ro-MD"/>
        </w:rPr>
      </w:pPr>
      <w:r w:rsidRPr="005829AF">
        <w:rPr>
          <w:lang w:val="ro-RO" w:eastAsia="ro-MD"/>
        </w:rPr>
        <w:t>2) valoarea contabilă determinată fără a se lua în considerare nicio ajustare pentru riscul de credit a propriilor credite acordate nu depășește 15% din totalul activelor sale;</w:t>
      </w:r>
    </w:p>
    <w:p w14:paraId="7B8F3A8C" w14:textId="06F5CF8F" w:rsidR="005829AF" w:rsidRPr="005829AF" w:rsidRDefault="005829AF" w:rsidP="00E0545C">
      <w:pPr>
        <w:jc w:val="both"/>
        <w:rPr>
          <w:lang w:val="ro-RO" w:eastAsia="ro-MD"/>
        </w:rPr>
      </w:pPr>
      <w:r w:rsidRPr="005829AF">
        <w:rPr>
          <w:lang w:val="ro-RO" w:eastAsia="ro-MD"/>
        </w:rPr>
        <w:t xml:space="preserve">3) cel puțin 5% din valoarea contabilă determinată fără a se lua în considerare nicio ajustare pentru riscul de credit a propriilor credite acordate constituie o refinanțare totală sau parțială sau ajustarea termenilor relevanți ori a expunerilor neperformante achiziționate care se califică drept măsură de restructurare </w:t>
      </w:r>
      <w:r w:rsidR="00EF6EC3">
        <w:rPr>
          <w:lang w:val="ro-RO" w:eastAsia="ro-MD"/>
        </w:rPr>
        <w:t>cauzată de</w:t>
      </w:r>
      <w:r w:rsidR="00EF6EC3" w:rsidRPr="005829AF">
        <w:rPr>
          <w:lang w:val="ro-RO" w:eastAsia="ro-MD"/>
        </w:rPr>
        <w:t xml:space="preserve"> </w:t>
      </w:r>
      <w:r w:rsidRPr="005829AF">
        <w:rPr>
          <w:lang w:val="ro-RO" w:eastAsia="ro-MD"/>
        </w:rPr>
        <w:t>dificultățil</w:t>
      </w:r>
      <w:r w:rsidR="00EF6EC3">
        <w:rPr>
          <w:lang w:val="ro-RO" w:eastAsia="ro-MD"/>
        </w:rPr>
        <w:t>e</w:t>
      </w:r>
      <w:r w:rsidRPr="005829AF">
        <w:rPr>
          <w:lang w:val="ro-RO" w:eastAsia="ro-MD"/>
        </w:rPr>
        <w:t xml:space="preserve"> financiare în conformitate cu punctele 67</w:t>
      </w:r>
      <w:r w:rsidRPr="005829AF">
        <w:rPr>
          <w:vertAlign w:val="superscript"/>
          <w:lang w:val="ro-RO" w:eastAsia="ro-MD"/>
        </w:rPr>
        <w:t>13</w:t>
      </w:r>
      <w:r w:rsidRPr="005829AF">
        <w:rPr>
          <w:lang w:val="ro-RO" w:eastAsia="ro-MD"/>
        </w:rPr>
        <w:t>-67</w:t>
      </w:r>
      <w:r w:rsidRPr="005829AF">
        <w:rPr>
          <w:vertAlign w:val="superscript"/>
          <w:lang w:val="ro-RO" w:eastAsia="ro-MD"/>
        </w:rPr>
        <w:t>16</w:t>
      </w:r>
      <w:r w:rsidRPr="005829AF">
        <w:rPr>
          <w:lang w:val="ro-RO" w:eastAsia="ro-MD"/>
        </w:rPr>
        <w:t>;</w:t>
      </w:r>
    </w:p>
    <w:p w14:paraId="40C60BF0" w14:textId="77777777" w:rsidR="005829AF" w:rsidRPr="005829AF" w:rsidRDefault="005829AF" w:rsidP="00E0545C">
      <w:pPr>
        <w:jc w:val="both"/>
        <w:rPr>
          <w:lang w:val="ro-RO" w:eastAsia="ro-MD"/>
        </w:rPr>
      </w:pPr>
      <w:r w:rsidRPr="005829AF">
        <w:rPr>
          <w:lang w:val="ro-RO" w:eastAsia="ro-MD"/>
        </w:rPr>
        <w:t>4) valoarea totală a activelor băncii nu depășește echivalentul în MDL a 20 de miliarde EUR;</w:t>
      </w:r>
    </w:p>
    <w:p w14:paraId="08C4D26E" w14:textId="1F28606A" w:rsidR="005829AF" w:rsidRPr="005829AF" w:rsidRDefault="005829AF" w:rsidP="00E0545C">
      <w:pPr>
        <w:jc w:val="both"/>
        <w:rPr>
          <w:lang w:val="ro-RO" w:eastAsia="ro-MD"/>
        </w:rPr>
      </w:pPr>
      <w:r w:rsidRPr="005829AF">
        <w:rPr>
          <w:lang w:val="ro-RO" w:eastAsia="ro-MD"/>
        </w:rPr>
        <w:t>5) banca menține în permanență un indicator de finanțare stabilă netă de cel puțin 130%;</w:t>
      </w:r>
    </w:p>
    <w:p w14:paraId="01C96A15" w14:textId="6B079693" w:rsidR="005829AF" w:rsidRPr="005829AF" w:rsidRDefault="005829AF" w:rsidP="00E0545C">
      <w:pPr>
        <w:jc w:val="both"/>
        <w:rPr>
          <w:lang w:val="ro-RO" w:eastAsia="ro-MD"/>
        </w:rPr>
      </w:pPr>
      <w:r w:rsidRPr="005829AF">
        <w:rPr>
          <w:lang w:val="ro-RO" w:eastAsia="ro-MD"/>
        </w:rPr>
        <w:t>6) depozitele la vedere ale b</w:t>
      </w:r>
      <w:r w:rsidR="001E343A">
        <w:rPr>
          <w:lang w:val="ro-RO" w:eastAsia="ro-MD"/>
        </w:rPr>
        <w:t>ă</w:t>
      </w:r>
      <w:r w:rsidRPr="005829AF">
        <w:rPr>
          <w:lang w:val="ro-RO" w:eastAsia="ro-MD"/>
        </w:rPr>
        <w:t>nc</w:t>
      </w:r>
      <w:r w:rsidR="001E343A">
        <w:rPr>
          <w:lang w:val="ro-RO" w:eastAsia="ro-MD"/>
        </w:rPr>
        <w:t>ii</w:t>
      </w:r>
      <w:r w:rsidRPr="005829AF">
        <w:rPr>
          <w:lang w:val="ro-RO" w:eastAsia="ro-MD"/>
        </w:rPr>
        <w:t xml:space="preserve"> nu depășesc 5% din totalul pasivelor băncii.</w:t>
      </w:r>
    </w:p>
    <w:p w14:paraId="3CF3EB62" w14:textId="35752A3F" w:rsidR="000D7FD4" w:rsidRDefault="005829AF" w:rsidP="005829AF">
      <w:pPr>
        <w:tabs>
          <w:tab w:val="left" w:pos="567"/>
          <w:tab w:val="left" w:pos="851"/>
        </w:tabs>
        <w:jc w:val="both"/>
        <w:rPr>
          <w:lang w:val="ro-RO" w:eastAsia="ro-MD"/>
        </w:rPr>
      </w:pPr>
      <w:r w:rsidRPr="005829AF">
        <w:rPr>
          <w:lang w:val="ro-RO" w:eastAsia="ro-MD"/>
        </w:rPr>
        <w:t xml:space="preserve">Entitatea specializată de restructurarea datoriei informează </w:t>
      </w:r>
      <w:r w:rsidR="00FD3198">
        <w:rPr>
          <w:lang w:val="ro-RO" w:eastAsia="ro-MD"/>
        </w:rPr>
        <w:t>imediat</w:t>
      </w:r>
      <w:r w:rsidR="002009FF">
        <w:rPr>
          <w:lang w:val="ro-RO" w:eastAsia="ro-MD"/>
        </w:rPr>
        <w:t>, în scris,</w:t>
      </w:r>
      <w:r w:rsidRPr="005829AF">
        <w:rPr>
          <w:lang w:val="ro-RO" w:eastAsia="ro-MD"/>
        </w:rPr>
        <w:t xml:space="preserve"> Banca Națională a Moldovei în cazul în care una sau mai multe dintre condițiile menționate nu mai sunt îndeplinite</w:t>
      </w:r>
      <w:r w:rsidR="004449F6">
        <w:rPr>
          <w:lang w:val="ro-RO" w:eastAsia="ro-MD"/>
        </w:rPr>
        <w:t>;</w:t>
      </w:r>
    </w:p>
    <w:p w14:paraId="1A7C0435" w14:textId="24413FE2" w:rsidR="005829AF" w:rsidRPr="000D7FD4" w:rsidRDefault="000D7FD4" w:rsidP="005829AF">
      <w:pPr>
        <w:tabs>
          <w:tab w:val="left" w:pos="567"/>
          <w:tab w:val="left" w:pos="851"/>
        </w:tabs>
        <w:jc w:val="both"/>
        <w:rPr>
          <w:lang w:val="ro-RO"/>
        </w:rPr>
      </w:pPr>
      <w:r w:rsidRPr="000D7FD4">
        <w:rPr>
          <w:b/>
          <w:bCs/>
          <w:lang w:val="ro-RO" w:eastAsia="ro-MD"/>
        </w:rPr>
        <w:t>grup de rezoluție</w:t>
      </w:r>
      <w:r w:rsidRPr="000D7FD4">
        <w:rPr>
          <w:lang w:val="ro-RO" w:eastAsia="ro-MD"/>
        </w:rPr>
        <w:t xml:space="preserve"> – un grup de rezoluție astfel cum este definit în</w:t>
      </w:r>
      <w:r w:rsidR="00115B4D">
        <w:rPr>
          <w:lang w:val="ro-RO" w:eastAsia="ro-MD"/>
        </w:rPr>
        <w:t xml:space="preserve"> Legea nr.232/2016</w:t>
      </w:r>
      <w:r>
        <w:rPr>
          <w:lang w:val="ro-RO" w:eastAsia="ro-MD"/>
        </w:rPr>
        <w:t>;</w:t>
      </w:r>
      <w:r w:rsidR="005829AF" w:rsidRPr="000D7FD4">
        <w:rPr>
          <w:lang w:val="ro-RO" w:eastAsia="ro-MD"/>
        </w:rPr>
        <w:t>”.</w:t>
      </w:r>
    </w:p>
    <w:p w14:paraId="5759511E" w14:textId="556AEF39" w:rsidR="001370D8" w:rsidRDefault="001370D8" w:rsidP="00E0545C">
      <w:pPr>
        <w:pStyle w:val="ListParagraph"/>
        <w:numPr>
          <w:ilvl w:val="1"/>
          <w:numId w:val="27"/>
        </w:numPr>
        <w:tabs>
          <w:tab w:val="left" w:pos="567"/>
          <w:tab w:val="left" w:pos="851"/>
        </w:tabs>
        <w:spacing w:before="80"/>
        <w:ind w:left="0" w:firstLine="567"/>
        <w:contextualSpacing w:val="0"/>
        <w:jc w:val="both"/>
        <w:rPr>
          <w:lang w:val="ro-MD"/>
        </w:rPr>
      </w:pPr>
      <w:r>
        <w:rPr>
          <w:lang w:val="ro-MD"/>
        </w:rPr>
        <w:t>Denumirea capitolului II se completează cu cuvintele „SI PASIVELOR ELIGIBILE”.</w:t>
      </w:r>
    </w:p>
    <w:p w14:paraId="018DE6DA" w14:textId="0B45216E" w:rsidR="00D92F73" w:rsidRDefault="00D92F73" w:rsidP="00E0545C">
      <w:pPr>
        <w:pStyle w:val="ListParagraph"/>
        <w:numPr>
          <w:ilvl w:val="1"/>
          <w:numId w:val="27"/>
        </w:numPr>
        <w:tabs>
          <w:tab w:val="left" w:pos="567"/>
          <w:tab w:val="left" w:pos="851"/>
        </w:tabs>
        <w:spacing w:before="80"/>
        <w:ind w:left="0" w:firstLine="567"/>
        <w:contextualSpacing w:val="0"/>
        <w:jc w:val="both"/>
        <w:rPr>
          <w:lang w:val="ro-MD"/>
        </w:rPr>
      </w:pPr>
      <w:r>
        <w:rPr>
          <w:lang w:val="ro-MD"/>
        </w:rPr>
        <w:t>La punctul 7</w:t>
      </w:r>
      <w:r w:rsidR="00EF6EC3">
        <w:rPr>
          <w:lang w:val="ro-MD"/>
        </w:rPr>
        <w:t>,</w:t>
      </w:r>
      <w:r>
        <w:rPr>
          <w:lang w:val="ro-MD"/>
        </w:rPr>
        <w:t xml:space="preserve"> </w:t>
      </w:r>
      <w:r w:rsidR="00056B6B">
        <w:rPr>
          <w:lang w:val="ro-MD"/>
        </w:rPr>
        <w:t xml:space="preserve">textul </w:t>
      </w:r>
      <w:r>
        <w:rPr>
          <w:lang w:val="ro-MD"/>
        </w:rPr>
        <w:t>„26</w:t>
      </w:r>
      <w:r w:rsidR="00056B6B">
        <w:rPr>
          <w:lang w:val="ro-MD"/>
        </w:rPr>
        <w:t>-29</w:t>
      </w:r>
      <w:r>
        <w:rPr>
          <w:lang w:val="ro-MD"/>
        </w:rPr>
        <w:t xml:space="preserve">” se substituie cu </w:t>
      </w:r>
      <w:r w:rsidR="00056B6B">
        <w:rPr>
          <w:lang w:val="ro-MD"/>
        </w:rPr>
        <w:t xml:space="preserve">textul </w:t>
      </w:r>
      <w:r>
        <w:rPr>
          <w:lang w:val="ro-MD"/>
        </w:rPr>
        <w:t>„25</w:t>
      </w:r>
      <w:r w:rsidRPr="00D92F73">
        <w:rPr>
          <w:vertAlign w:val="superscript"/>
          <w:lang w:val="ro-MD"/>
        </w:rPr>
        <w:t>1</w:t>
      </w:r>
      <w:r w:rsidR="00056B6B">
        <w:rPr>
          <w:lang w:val="ro-MD"/>
        </w:rPr>
        <w:t>-29</w:t>
      </w:r>
      <w:r>
        <w:rPr>
          <w:lang w:val="ro-MD"/>
        </w:rPr>
        <w:t>”.</w:t>
      </w:r>
    </w:p>
    <w:p w14:paraId="289DD311" w14:textId="5109EB1C" w:rsidR="00A35D32" w:rsidRDefault="00A35D32" w:rsidP="00E0545C">
      <w:pPr>
        <w:pStyle w:val="ListParagraph"/>
        <w:numPr>
          <w:ilvl w:val="1"/>
          <w:numId w:val="27"/>
        </w:numPr>
        <w:tabs>
          <w:tab w:val="left" w:pos="567"/>
          <w:tab w:val="left" w:pos="851"/>
        </w:tabs>
        <w:spacing w:before="80"/>
        <w:ind w:left="0" w:firstLine="567"/>
        <w:contextualSpacing w:val="0"/>
        <w:jc w:val="both"/>
        <w:rPr>
          <w:lang w:val="ro-MD"/>
        </w:rPr>
      </w:pPr>
      <w:r>
        <w:rPr>
          <w:lang w:val="ro-MD"/>
        </w:rPr>
        <w:lastRenderedPageBreak/>
        <w:t>Se completează cu punctul 9</w:t>
      </w:r>
      <w:r w:rsidRPr="00A35D32">
        <w:rPr>
          <w:vertAlign w:val="superscript"/>
          <w:lang w:val="ro-MD"/>
        </w:rPr>
        <w:t>1</w:t>
      </w:r>
      <w:r w:rsidRPr="00A35D32">
        <w:rPr>
          <w:lang w:val="ro-MD"/>
        </w:rPr>
        <w:t xml:space="preserve"> </w:t>
      </w:r>
      <w:r>
        <w:rPr>
          <w:lang w:val="ro-MD"/>
        </w:rPr>
        <w:t>cu următorul cuprins:</w:t>
      </w:r>
    </w:p>
    <w:p w14:paraId="431803B0" w14:textId="27517552" w:rsidR="00A35D32" w:rsidRPr="00A35D32" w:rsidRDefault="00A35D32" w:rsidP="00662472">
      <w:pPr>
        <w:tabs>
          <w:tab w:val="left" w:pos="567"/>
          <w:tab w:val="left" w:pos="851"/>
        </w:tabs>
        <w:jc w:val="both"/>
        <w:rPr>
          <w:lang w:val="ro-MD"/>
        </w:rPr>
      </w:pPr>
      <w:r>
        <w:rPr>
          <w:lang w:val="ro-MD"/>
        </w:rPr>
        <w:t>„</w:t>
      </w:r>
      <w:r w:rsidRPr="00A35D32">
        <w:rPr>
          <w:b/>
          <w:bCs/>
          <w:lang w:val="ro-MD"/>
        </w:rPr>
        <w:t>9</w:t>
      </w:r>
      <w:r w:rsidRPr="00A35D32">
        <w:rPr>
          <w:b/>
          <w:bCs/>
          <w:vertAlign w:val="superscript"/>
          <w:lang w:val="ro-MD"/>
        </w:rPr>
        <w:t>1</w:t>
      </w:r>
      <w:r w:rsidRPr="00A35D32">
        <w:rPr>
          <w:b/>
          <w:bCs/>
          <w:lang w:val="ro-MD"/>
        </w:rPr>
        <w:t>.</w:t>
      </w:r>
      <w:r w:rsidRPr="00A35D32">
        <w:rPr>
          <w:lang w:val="ro-MD"/>
        </w:rPr>
        <w:t xml:space="preserve"> Fondurile proprii și pasivele eligibile ale unei bănci constau în suma dintre fondurile proprii și pasivele eligibile ale acesteia după aplicarea deducerilor de la punctul 109</w:t>
      </w:r>
      <w:r w:rsidRPr="00A35D32">
        <w:rPr>
          <w:vertAlign w:val="superscript"/>
          <w:lang w:val="ro-MD"/>
        </w:rPr>
        <w:t>21</w:t>
      </w:r>
      <w:r>
        <w:rPr>
          <w:lang w:val="ro-MD"/>
        </w:rPr>
        <w:t>.”.</w:t>
      </w:r>
    </w:p>
    <w:p w14:paraId="3D0603DF" w14:textId="6A69D205" w:rsidR="003F245D" w:rsidRDefault="003F245D" w:rsidP="00E0545C">
      <w:pPr>
        <w:pStyle w:val="ListParagraph"/>
        <w:numPr>
          <w:ilvl w:val="1"/>
          <w:numId w:val="27"/>
        </w:numPr>
        <w:tabs>
          <w:tab w:val="left" w:pos="567"/>
          <w:tab w:val="left" w:pos="851"/>
        </w:tabs>
        <w:spacing w:before="80"/>
        <w:ind w:left="0" w:firstLine="567"/>
        <w:contextualSpacing w:val="0"/>
        <w:jc w:val="both"/>
        <w:rPr>
          <w:lang w:val="ro-MD"/>
        </w:rPr>
      </w:pPr>
      <w:r>
        <w:rPr>
          <w:lang w:val="ro-MD"/>
        </w:rPr>
        <w:t>Se completează cu punctul 16</w:t>
      </w:r>
      <w:r w:rsidRPr="00C33C72">
        <w:rPr>
          <w:vertAlign w:val="superscript"/>
          <w:lang w:val="ro-MD"/>
        </w:rPr>
        <w:t>1</w:t>
      </w:r>
      <w:r>
        <w:rPr>
          <w:lang w:val="ro-MD"/>
        </w:rPr>
        <w:t xml:space="preserve"> cu următorul cuprins:</w:t>
      </w:r>
    </w:p>
    <w:p w14:paraId="4DE7FC3B" w14:textId="337906D6" w:rsidR="003F245D" w:rsidRPr="003F245D" w:rsidRDefault="003F245D" w:rsidP="00F332FF">
      <w:pPr>
        <w:tabs>
          <w:tab w:val="left" w:pos="567"/>
          <w:tab w:val="left" w:pos="851"/>
        </w:tabs>
        <w:jc w:val="both"/>
        <w:rPr>
          <w:lang w:val="ro-RO"/>
        </w:rPr>
      </w:pPr>
      <w:r w:rsidRPr="003F245D">
        <w:rPr>
          <w:lang w:val="ro-RO"/>
        </w:rPr>
        <w:t>„</w:t>
      </w:r>
      <w:r w:rsidRPr="003F245D">
        <w:rPr>
          <w:b/>
          <w:bCs/>
          <w:lang w:val="ro-RO" w:eastAsia="ro-MD"/>
        </w:rPr>
        <w:t>16</w:t>
      </w:r>
      <w:r w:rsidRPr="003F245D">
        <w:rPr>
          <w:b/>
          <w:bCs/>
          <w:vertAlign w:val="superscript"/>
          <w:lang w:val="ro-RO" w:eastAsia="ro-MD"/>
        </w:rPr>
        <w:t>1</w:t>
      </w:r>
      <w:r w:rsidRPr="003F245D">
        <w:rPr>
          <w:b/>
          <w:bCs/>
          <w:lang w:val="ro-RO" w:eastAsia="ro-MD"/>
        </w:rPr>
        <w:t>.</w:t>
      </w:r>
      <w:r w:rsidRPr="003F245D">
        <w:rPr>
          <w:lang w:val="ro-RO" w:eastAsia="ro-MD"/>
        </w:rPr>
        <w:t xml:space="preserve"> În sensul punctului 16 subpunctul 2), doar partea unui instrument de capital care a fost achitată integral este eligibilă pentru a fi considerată instrument de fonduri proprii de nivel 1 de bază</w:t>
      </w:r>
      <w:r>
        <w:rPr>
          <w:lang w:val="ro-RO" w:eastAsia="ro-MD"/>
        </w:rPr>
        <w:t>.”.</w:t>
      </w:r>
    </w:p>
    <w:p w14:paraId="01B7510F" w14:textId="1BCD96F3" w:rsidR="003F245D" w:rsidRDefault="003F245D" w:rsidP="003F245D">
      <w:pPr>
        <w:pStyle w:val="ListParagraph"/>
        <w:numPr>
          <w:ilvl w:val="1"/>
          <w:numId w:val="27"/>
        </w:numPr>
        <w:tabs>
          <w:tab w:val="left" w:pos="567"/>
          <w:tab w:val="left" w:pos="851"/>
        </w:tabs>
        <w:spacing w:before="80"/>
        <w:ind w:left="0" w:firstLine="567"/>
        <w:contextualSpacing w:val="0"/>
        <w:jc w:val="both"/>
        <w:rPr>
          <w:lang w:val="ro-RO"/>
        </w:rPr>
      </w:pPr>
      <w:r w:rsidRPr="003F245D">
        <w:rPr>
          <w:lang w:val="ro-RO"/>
        </w:rPr>
        <w:t>Se completează cu punctele 19</w:t>
      </w:r>
      <w:r w:rsidRPr="006D140B">
        <w:rPr>
          <w:vertAlign w:val="superscript"/>
          <w:lang w:val="ro-RO"/>
        </w:rPr>
        <w:t>1</w:t>
      </w:r>
      <w:r w:rsidRPr="003F245D">
        <w:rPr>
          <w:lang w:val="ro-RO"/>
        </w:rPr>
        <w:t xml:space="preserve"> și 19</w:t>
      </w:r>
      <w:r w:rsidRPr="006D140B">
        <w:rPr>
          <w:vertAlign w:val="superscript"/>
          <w:lang w:val="ro-RO"/>
        </w:rPr>
        <w:t>2</w:t>
      </w:r>
      <w:r w:rsidRPr="003F245D">
        <w:rPr>
          <w:lang w:val="ro-RO"/>
        </w:rPr>
        <w:t xml:space="preserve"> cu următorul cuprins:</w:t>
      </w:r>
    </w:p>
    <w:p w14:paraId="46D2A202" w14:textId="49D467B0" w:rsidR="006D140B" w:rsidRPr="006D140B" w:rsidRDefault="006D140B" w:rsidP="00CA1F4A">
      <w:pPr>
        <w:jc w:val="both"/>
        <w:rPr>
          <w:lang w:val="ro-RO" w:eastAsia="ro-MD"/>
        </w:rPr>
      </w:pPr>
      <w:r>
        <w:rPr>
          <w:lang w:val="ro-RO"/>
        </w:rPr>
        <w:t>„</w:t>
      </w:r>
      <w:r w:rsidRPr="006D140B">
        <w:rPr>
          <w:b/>
          <w:bCs/>
          <w:lang w:val="ro-RO" w:eastAsia="ro-MD"/>
        </w:rPr>
        <w:t>19</w:t>
      </w:r>
      <w:r w:rsidRPr="006D140B">
        <w:rPr>
          <w:b/>
          <w:bCs/>
          <w:vertAlign w:val="superscript"/>
          <w:lang w:val="ro-RO" w:eastAsia="ro-MD"/>
        </w:rPr>
        <w:t>1</w:t>
      </w:r>
      <w:r w:rsidRPr="006D140B">
        <w:rPr>
          <w:b/>
          <w:bCs/>
          <w:lang w:val="ro-RO" w:eastAsia="ro-MD"/>
        </w:rPr>
        <w:t>.</w:t>
      </w:r>
      <w:r w:rsidRPr="006D140B">
        <w:rPr>
          <w:lang w:val="ro-RO" w:eastAsia="ro-MD"/>
        </w:rPr>
        <w:t xml:space="preserve"> Condiția prevăzută la punctul 16 subpunctul 8) litera e) este considerată îndeplinită în pofida faptului că o filială face obiectul unui acord privind transferul profitului și al pierderilor cu întreprinderea-mamă, conform căruia filiala este obligată să transfere, ca urmare a întocmirii situațiilor sale financiare anuale, rezultatul său anual către întreprinderea-mamă, în cazul în care sunt îndeplinite cumulativ următoarele condiții:</w:t>
      </w:r>
    </w:p>
    <w:p w14:paraId="199DFE8C" w14:textId="749AB376" w:rsidR="006D140B" w:rsidRPr="006D140B" w:rsidRDefault="006D140B" w:rsidP="0065180E">
      <w:pPr>
        <w:jc w:val="both"/>
        <w:rPr>
          <w:lang w:val="ro-RO" w:eastAsia="ro-MD"/>
        </w:rPr>
      </w:pPr>
      <w:r w:rsidRPr="006D140B">
        <w:rPr>
          <w:lang w:val="ro-RO" w:eastAsia="ro-MD"/>
        </w:rPr>
        <w:t>1) întreprinderea-mamă deține 90% sau mai mult din drepturile de vot și din capitalul filialei;</w:t>
      </w:r>
    </w:p>
    <w:p w14:paraId="5D3AEFD7" w14:textId="07A9A344" w:rsidR="006D140B" w:rsidRPr="006D140B" w:rsidRDefault="006D140B" w:rsidP="0065180E">
      <w:pPr>
        <w:jc w:val="both"/>
        <w:rPr>
          <w:lang w:val="ro-RO" w:eastAsia="ro-MD"/>
        </w:rPr>
      </w:pPr>
      <w:r w:rsidRPr="006D140B">
        <w:rPr>
          <w:lang w:val="ro-RO" w:eastAsia="ro-MD"/>
        </w:rPr>
        <w:t xml:space="preserve">2) întreprinderea-mamă și filiala sunt situate în </w:t>
      </w:r>
      <w:r w:rsidR="001A71D9">
        <w:rPr>
          <w:lang w:val="ro-RO" w:eastAsia="ro-MD"/>
        </w:rPr>
        <w:t xml:space="preserve">Republica Moldova sau </w:t>
      </w:r>
      <w:r w:rsidRPr="006D140B">
        <w:rPr>
          <w:lang w:val="ro-RO" w:eastAsia="ro-MD"/>
        </w:rPr>
        <w:t>același stat membru</w:t>
      </w:r>
      <w:r w:rsidR="001A71D9">
        <w:rPr>
          <w:lang w:val="ro-RO" w:eastAsia="ro-MD"/>
        </w:rPr>
        <w:t xml:space="preserve"> al Uniunii Europene</w:t>
      </w:r>
      <w:r w:rsidRPr="006D140B">
        <w:rPr>
          <w:lang w:val="ro-RO" w:eastAsia="ro-MD"/>
        </w:rPr>
        <w:t>;</w:t>
      </w:r>
    </w:p>
    <w:p w14:paraId="390FE0AD" w14:textId="77777777" w:rsidR="006D140B" w:rsidRPr="006D140B" w:rsidRDefault="006D140B" w:rsidP="0065180E">
      <w:pPr>
        <w:jc w:val="both"/>
        <w:rPr>
          <w:lang w:val="ro-RO" w:eastAsia="ro-MD"/>
        </w:rPr>
      </w:pPr>
      <w:r w:rsidRPr="006D140B">
        <w:rPr>
          <w:lang w:val="ro-RO" w:eastAsia="ro-MD"/>
        </w:rPr>
        <w:t>3) acordul a fost încheiat în scopuri de impozitare;</w:t>
      </w:r>
    </w:p>
    <w:p w14:paraId="312B10F5" w14:textId="5048EAD7" w:rsidR="006D140B" w:rsidRPr="006D140B" w:rsidRDefault="006D140B" w:rsidP="0065180E">
      <w:pPr>
        <w:jc w:val="both"/>
        <w:rPr>
          <w:lang w:val="ro-RO" w:eastAsia="ro-MD"/>
        </w:rPr>
      </w:pPr>
      <w:r w:rsidRPr="006D140B">
        <w:rPr>
          <w:lang w:val="ro-RO" w:eastAsia="ro-MD"/>
        </w:rPr>
        <w:t>4) la întocmirea situației financiare anuale, filiala are libertatea de a reduce valoarea distribuirilor prin alocarea tuturor profiturilor sale sau a unei părți a acestora către rezervele proprii sau către fondurile sale pentru riscuri bancare generale înainte de efectuarea oricărei plăți către întreprinderea</w:t>
      </w:r>
      <w:r w:rsidR="00EF6EC3">
        <w:rPr>
          <w:lang w:val="ro-RO" w:eastAsia="ro-MD"/>
        </w:rPr>
        <w:t>-</w:t>
      </w:r>
      <w:r w:rsidRPr="006D140B">
        <w:rPr>
          <w:lang w:val="ro-RO" w:eastAsia="ro-MD"/>
        </w:rPr>
        <w:t>mamă;</w:t>
      </w:r>
    </w:p>
    <w:p w14:paraId="5C36651D" w14:textId="77777777" w:rsidR="006D140B" w:rsidRPr="006D140B" w:rsidRDefault="006D140B" w:rsidP="0065180E">
      <w:pPr>
        <w:jc w:val="both"/>
        <w:rPr>
          <w:lang w:val="ro-RO" w:eastAsia="ro-MD"/>
        </w:rPr>
      </w:pPr>
      <w:r w:rsidRPr="006D140B">
        <w:rPr>
          <w:lang w:val="ro-RO" w:eastAsia="ro-MD"/>
        </w:rPr>
        <w:t>5) întreprinderea-mamă este obligată, în temeiul acordului, să despăgubească integral filiala pentru toate pierderile acesteia din urmă;</w:t>
      </w:r>
    </w:p>
    <w:p w14:paraId="2DD1E8C5" w14:textId="77777777" w:rsidR="006D140B" w:rsidRPr="006D140B" w:rsidRDefault="006D140B" w:rsidP="0065180E">
      <w:pPr>
        <w:jc w:val="both"/>
        <w:rPr>
          <w:lang w:val="ro-RO" w:eastAsia="ro-MD"/>
        </w:rPr>
      </w:pPr>
      <w:r w:rsidRPr="006D140B">
        <w:rPr>
          <w:lang w:val="ro-RO" w:eastAsia="ro-MD"/>
        </w:rPr>
        <w:t>6) acordul face obiectul unei perioade de preaviz conform căreia acordul poate fi reziliat numai până la sfârșitul unui exercițiu financiar, rezilierea intrând în vigoare cel mai devreme la începutul exercițiului financiar următor, neafectând obligația întreprinderii-mamă de a despăgubi integral filiala pentru toate pierderile suferite pe parcursul exercițiului financiar curent.</w:t>
      </w:r>
    </w:p>
    <w:p w14:paraId="6A57868B" w14:textId="1866130C" w:rsidR="006D140B" w:rsidRPr="006D140B" w:rsidRDefault="006D140B" w:rsidP="006D140B">
      <w:pPr>
        <w:tabs>
          <w:tab w:val="left" w:pos="567"/>
          <w:tab w:val="left" w:pos="851"/>
        </w:tabs>
        <w:spacing w:before="80"/>
        <w:jc w:val="both"/>
        <w:rPr>
          <w:lang w:val="ro-RO"/>
        </w:rPr>
      </w:pPr>
      <w:r w:rsidRPr="006D140B">
        <w:rPr>
          <w:b/>
          <w:bCs/>
          <w:lang w:val="ro-RO" w:eastAsia="ro-MD"/>
        </w:rPr>
        <w:t>19</w:t>
      </w:r>
      <w:r w:rsidRPr="006D140B">
        <w:rPr>
          <w:b/>
          <w:bCs/>
          <w:vertAlign w:val="superscript"/>
          <w:lang w:val="ro-RO" w:eastAsia="ro-MD"/>
        </w:rPr>
        <w:t>2</w:t>
      </w:r>
      <w:r w:rsidRPr="006D140B">
        <w:rPr>
          <w:b/>
          <w:bCs/>
          <w:lang w:val="ro-RO" w:eastAsia="ro-MD"/>
        </w:rPr>
        <w:t>.</w:t>
      </w:r>
      <w:r w:rsidRPr="006D140B">
        <w:rPr>
          <w:lang w:val="ro-RO" w:eastAsia="ro-MD"/>
        </w:rPr>
        <w:t xml:space="preserve"> În cazul în care banca a încheiat un acord privind transferul profitului și al pierderilor conform punctului 19</w:t>
      </w:r>
      <w:r w:rsidRPr="006D140B">
        <w:rPr>
          <w:vertAlign w:val="superscript"/>
          <w:lang w:val="ro-RO" w:eastAsia="ro-MD"/>
        </w:rPr>
        <w:t>1</w:t>
      </w:r>
      <w:r w:rsidRPr="006D140B">
        <w:rPr>
          <w:lang w:val="ro-RO" w:eastAsia="ro-MD"/>
        </w:rPr>
        <w:t xml:space="preserve">, aceasta notifică în scris Banca Națională a Moldovei, </w:t>
      </w:r>
      <w:r w:rsidR="00FD3198">
        <w:rPr>
          <w:lang w:val="ro-RO" w:eastAsia="ro-MD"/>
        </w:rPr>
        <w:t>imediat</w:t>
      </w:r>
      <w:r w:rsidRPr="006D140B">
        <w:rPr>
          <w:lang w:val="ro-RO" w:eastAsia="ro-MD"/>
        </w:rPr>
        <w:t xml:space="preserve">, și prezintă o copie a acordului. De asemenea, banca informează </w:t>
      </w:r>
      <w:r w:rsidR="00FD3198">
        <w:rPr>
          <w:lang w:val="ro-RO" w:eastAsia="ro-MD"/>
        </w:rPr>
        <w:t xml:space="preserve">imediat </w:t>
      </w:r>
      <w:r w:rsidRPr="006D140B">
        <w:rPr>
          <w:lang w:val="ro-RO" w:eastAsia="ro-MD"/>
        </w:rPr>
        <w:t>Banca Națională a Moldovei</w:t>
      </w:r>
      <w:r w:rsidR="00FD3198">
        <w:rPr>
          <w:lang w:val="ro-RO" w:eastAsia="ro-MD"/>
        </w:rPr>
        <w:t xml:space="preserve"> </w:t>
      </w:r>
      <w:r w:rsidRPr="006D140B">
        <w:rPr>
          <w:lang w:val="ro-RO" w:eastAsia="ro-MD"/>
        </w:rPr>
        <w:t>cu privire la orice modificare adusă acordului privind transferul profitului și al pierderilor</w:t>
      </w:r>
      <w:r w:rsidR="00E50D22">
        <w:rPr>
          <w:lang w:val="ro-RO" w:eastAsia="ro-MD"/>
        </w:rPr>
        <w:t>, precum</w:t>
      </w:r>
      <w:r w:rsidRPr="006D140B">
        <w:rPr>
          <w:lang w:val="ro-RO" w:eastAsia="ro-MD"/>
        </w:rPr>
        <w:t xml:space="preserve"> și la rezoluțiunea acestuia. Banca nu </w:t>
      </w:r>
      <w:r w:rsidR="005C26B6">
        <w:rPr>
          <w:lang w:val="ro-RO" w:eastAsia="ro-MD"/>
        </w:rPr>
        <w:t xml:space="preserve">trebuie să </w:t>
      </w:r>
      <w:r w:rsidRPr="006D140B">
        <w:rPr>
          <w:lang w:val="ro-RO" w:eastAsia="ro-MD"/>
        </w:rPr>
        <w:t>încheie mai mult de un acord privind transferul profitului și al pierderilor.”.</w:t>
      </w:r>
    </w:p>
    <w:p w14:paraId="187F7C2D" w14:textId="4AF4E931" w:rsidR="00CA1F4A" w:rsidRDefault="00D4681C" w:rsidP="006D140B">
      <w:pPr>
        <w:pStyle w:val="ListParagraph"/>
        <w:numPr>
          <w:ilvl w:val="1"/>
          <w:numId w:val="27"/>
        </w:numPr>
        <w:tabs>
          <w:tab w:val="left" w:pos="567"/>
          <w:tab w:val="left" w:pos="851"/>
        </w:tabs>
        <w:spacing w:before="80"/>
        <w:ind w:left="0" w:firstLine="567"/>
        <w:contextualSpacing w:val="0"/>
        <w:jc w:val="both"/>
        <w:rPr>
          <w:lang w:val="ro-RO"/>
        </w:rPr>
      </w:pPr>
      <w:r>
        <w:rPr>
          <w:lang w:val="ro-RO"/>
        </w:rPr>
        <w:t>Capitolul III secțiunea 1</w:t>
      </w:r>
      <w:r w:rsidR="0065180E">
        <w:rPr>
          <w:lang w:val="ro-RO"/>
        </w:rPr>
        <w:t xml:space="preserve"> s</w:t>
      </w:r>
      <w:r w:rsidR="006D140B" w:rsidRPr="006D140B">
        <w:rPr>
          <w:lang w:val="ro-RO"/>
        </w:rPr>
        <w:t xml:space="preserve">e completează cu </w:t>
      </w:r>
      <w:r w:rsidR="00121990" w:rsidRPr="006D140B">
        <w:rPr>
          <w:lang w:val="ro-RO"/>
        </w:rPr>
        <w:t xml:space="preserve">subsecțiunea </w:t>
      </w:r>
      <w:r w:rsidR="006D140B" w:rsidRPr="006D140B">
        <w:rPr>
          <w:lang w:val="ro-RO"/>
        </w:rPr>
        <w:t>2</w:t>
      </w:r>
      <w:r w:rsidR="006D140B" w:rsidRPr="006D140B">
        <w:rPr>
          <w:vertAlign w:val="superscript"/>
          <w:lang w:val="ro-RO"/>
        </w:rPr>
        <w:t>1</w:t>
      </w:r>
      <w:r w:rsidR="006D140B" w:rsidRPr="006D140B">
        <w:rPr>
          <w:lang w:val="ro-RO"/>
        </w:rPr>
        <w:t xml:space="preserve"> </w:t>
      </w:r>
      <w:r w:rsidR="00CA1F4A">
        <w:rPr>
          <w:lang w:val="ro-MD"/>
        </w:rPr>
        <w:t>cu următorul cuprins:</w:t>
      </w:r>
    </w:p>
    <w:p w14:paraId="5E38C10A" w14:textId="77777777" w:rsidR="00CA1F4A" w:rsidRPr="00CA1F4A" w:rsidRDefault="006D140B" w:rsidP="00CA1F4A">
      <w:pPr>
        <w:jc w:val="center"/>
        <w:rPr>
          <w:lang w:val="ro-MD" w:eastAsia="ro-MD"/>
        </w:rPr>
      </w:pPr>
      <w:r>
        <w:rPr>
          <w:lang w:val="ro-RO"/>
        </w:rPr>
        <w:t>„</w:t>
      </w:r>
      <w:r w:rsidR="00CA1F4A" w:rsidRPr="00CA1F4A">
        <w:rPr>
          <w:b/>
          <w:bCs/>
          <w:i/>
          <w:iCs/>
          <w:lang w:val="ro-MD" w:eastAsia="ro-MD"/>
        </w:rPr>
        <w:t>Subsecțiunea 2</w:t>
      </w:r>
      <w:r w:rsidR="00CA1F4A" w:rsidRPr="00CA1F4A">
        <w:rPr>
          <w:b/>
          <w:bCs/>
          <w:i/>
          <w:iCs/>
          <w:vertAlign w:val="superscript"/>
          <w:lang w:val="ro-MD" w:eastAsia="ro-MD"/>
        </w:rPr>
        <w:t>1</w:t>
      </w:r>
    </w:p>
    <w:p w14:paraId="42527DD1" w14:textId="77777777" w:rsidR="00CA1F4A" w:rsidRPr="00CA1F4A" w:rsidRDefault="00CA1F4A" w:rsidP="00CA1F4A">
      <w:pPr>
        <w:jc w:val="center"/>
        <w:rPr>
          <w:lang w:val="ro-MD" w:eastAsia="ro-MD"/>
        </w:rPr>
      </w:pPr>
      <w:r w:rsidRPr="00CA1F4A">
        <w:rPr>
          <w:b/>
          <w:bCs/>
          <w:i/>
          <w:iCs/>
          <w:lang w:val="ro-MD" w:eastAsia="ro-MD"/>
        </w:rPr>
        <w:t>Instrumente de capital emise de societățile mutuale, organizațiile cooperatiste de credit, instituțiile de economii sau instituțiile similare în cadrul elementelor de fonduri proprii de nivel 1 de bază</w:t>
      </w:r>
    </w:p>
    <w:p w14:paraId="71B184F4" w14:textId="77777777" w:rsidR="00CA1F4A" w:rsidRPr="00E97068" w:rsidRDefault="00CA1F4A" w:rsidP="00CA1F4A">
      <w:pPr>
        <w:jc w:val="both"/>
        <w:rPr>
          <w:lang w:val="ro-MD" w:eastAsia="ro-MD"/>
        </w:rPr>
      </w:pPr>
      <w:r w:rsidRPr="00CA1F4A">
        <w:rPr>
          <w:b/>
          <w:bCs/>
          <w:lang w:val="ro-MD" w:eastAsia="ro-MD"/>
        </w:rPr>
        <w:t>23</w:t>
      </w:r>
      <w:r w:rsidRPr="00CA1F4A">
        <w:rPr>
          <w:b/>
          <w:bCs/>
          <w:vertAlign w:val="superscript"/>
          <w:lang w:val="ro-MD" w:eastAsia="ro-MD"/>
        </w:rPr>
        <w:t>1</w:t>
      </w:r>
      <w:r w:rsidRPr="00CA1F4A">
        <w:rPr>
          <w:b/>
          <w:bCs/>
          <w:lang w:val="ro-MD" w:eastAsia="ro-MD"/>
        </w:rPr>
        <w:t>.</w:t>
      </w:r>
      <w:r w:rsidRPr="00CA1F4A">
        <w:rPr>
          <w:lang w:val="ro-MD" w:eastAsia="ro-MD"/>
        </w:rPr>
        <w:t xml:space="preserve"> Elementele de fonduri proprii de nivel 1 de bază includ orice instrument de capital emis de o societate în conformitate cu dispozițiile sale statutare dacă sunt </w:t>
      </w:r>
      <w:r w:rsidRPr="00E97068">
        <w:rPr>
          <w:lang w:val="ro-MD" w:eastAsia="ro-MD"/>
        </w:rPr>
        <w:t>îndeplinite următoarele condiții:</w:t>
      </w:r>
    </w:p>
    <w:p w14:paraId="4246702A" w14:textId="7566DCD6" w:rsidR="00CA1F4A" w:rsidRPr="00E97068" w:rsidRDefault="00CA1F4A" w:rsidP="00CA1F4A">
      <w:pPr>
        <w:jc w:val="both"/>
        <w:rPr>
          <w:lang w:val="ro-MD" w:eastAsia="ro-MD"/>
        </w:rPr>
      </w:pPr>
      <w:r w:rsidRPr="00E97068">
        <w:rPr>
          <w:lang w:val="ro-MD" w:eastAsia="ro-MD"/>
        </w:rPr>
        <w:t>1) societatea este de un tip definit în conformitate cu legislația națională aplicabilă, iar autoritățile competente consideră că aceasta se califică drept oricare dintre următoarele:</w:t>
      </w:r>
    </w:p>
    <w:p w14:paraId="2349C7E9" w14:textId="77777777" w:rsidR="00CA1F4A" w:rsidRPr="00CA1F4A" w:rsidRDefault="00CA1F4A" w:rsidP="00CA1F4A">
      <w:pPr>
        <w:jc w:val="both"/>
        <w:rPr>
          <w:lang w:val="ro-MD" w:eastAsia="ro-MD"/>
        </w:rPr>
      </w:pPr>
      <w:r w:rsidRPr="00E97068">
        <w:rPr>
          <w:lang w:val="ro-MD" w:eastAsia="ro-MD"/>
        </w:rPr>
        <w:t>a) societate mutuală;</w:t>
      </w:r>
    </w:p>
    <w:p w14:paraId="60870883" w14:textId="77777777" w:rsidR="00CA1F4A" w:rsidRPr="00CA1F4A" w:rsidRDefault="00CA1F4A" w:rsidP="00CA1F4A">
      <w:pPr>
        <w:jc w:val="both"/>
        <w:rPr>
          <w:lang w:val="ro-MD" w:eastAsia="ro-MD"/>
        </w:rPr>
      </w:pPr>
      <w:r w:rsidRPr="00CA1F4A">
        <w:rPr>
          <w:lang w:val="ro-MD" w:eastAsia="ro-MD"/>
        </w:rPr>
        <w:t>b) organizație cooperatistă de credit;</w:t>
      </w:r>
    </w:p>
    <w:p w14:paraId="375E85BF" w14:textId="77777777" w:rsidR="00CA1F4A" w:rsidRPr="00CA1F4A" w:rsidRDefault="00CA1F4A" w:rsidP="00CA1F4A">
      <w:pPr>
        <w:jc w:val="both"/>
        <w:rPr>
          <w:lang w:val="ro-MD" w:eastAsia="ro-MD"/>
        </w:rPr>
      </w:pPr>
      <w:r w:rsidRPr="00CA1F4A">
        <w:rPr>
          <w:lang w:val="ro-MD" w:eastAsia="ro-MD"/>
        </w:rPr>
        <w:t>c) instituție de economii;</w:t>
      </w:r>
    </w:p>
    <w:p w14:paraId="542CFE06" w14:textId="77777777" w:rsidR="00C2013A" w:rsidRDefault="00CA1F4A" w:rsidP="00C2013A">
      <w:pPr>
        <w:jc w:val="both"/>
        <w:rPr>
          <w:lang w:val="ro-MD" w:eastAsia="ro-MD"/>
        </w:rPr>
      </w:pPr>
      <w:r w:rsidRPr="00CA1F4A">
        <w:rPr>
          <w:lang w:val="ro-MD" w:eastAsia="ro-MD"/>
        </w:rPr>
        <w:t>d) instituție similară;</w:t>
      </w:r>
    </w:p>
    <w:p w14:paraId="4DE7C048" w14:textId="46D77EEC" w:rsidR="006D140B" w:rsidRDefault="00CA1F4A" w:rsidP="00C2013A">
      <w:pPr>
        <w:jc w:val="both"/>
        <w:rPr>
          <w:lang w:val="ro-MD" w:eastAsia="ro-MD"/>
        </w:rPr>
      </w:pPr>
      <w:r w:rsidRPr="00CA1F4A">
        <w:rPr>
          <w:lang w:val="ro-MD" w:eastAsia="ro-MD"/>
        </w:rPr>
        <w:t>2) sunt îndeplinite condițiile prevăzute la subsecțiunea 2 și condițiile de modificare de la punctele 23</w:t>
      </w:r>
      <w:r w:rsidRPr="00CA1F4A">
        <w:rPr>
          <w:vertAlign w:val="superscript"/>
          <w:lang w:val="ro-MD" w:eastAsia="ro-MD"/>
        </w:rPr>
        <w:t>3</w:t>
      </w:r>
      <w:r w:rsidRPr="00CA1F4A">
        <w:rPr>
          <w:lang w:val="ro-MD" w:eastAsia="ro-MD"/>
        </w:rPr>
        <w:t xml:space="preserve"> -23</w:t>
      </w:r>
      <w:r w:rsidRPr="00CA1F4A">
        <w:rPr>
          <w:vertAlign w:val="superscript"/>
          <w:lang w:val="ro-MD" w:eastAsia="ro-MD"/>
        </w:rPr>
        <w:t>8</w:t>
      </w:r>
      <w:r w:rsidRPr="00CA1F4A">
        <w:rPr>
          <w:lang w:val="ro-MD" w:eastAsia="ro-MD"/>
        </w:rPr>
        <w:t>.</w:t>
      </w:r>
    </w:p>
    <w:p w14:paraId="60E64EA5" w14:textId="5265399E" w:rsidR="00C2013A" w:rsidRPr="00C2013A" w:rsidRDefault="00C2013A" w:rsidP="00C2013A">
      <w:pPr>
        <w:jc w:val="both"/>
        <w:rPr>
          <w:lang w:val="ro-MD" w:eastAsia="ro-MD"/>
        </w:rPr>
      </w:pPr>
      <w:r w:rsidRPr="00C2013A">
        <w:rPr>
          <w:b/>
          <w:bCs/>
          <w:lang w:val="ro-MD" w:eastAsia="ro-MD"/>
        </w:rPr>
        <w:lastRenderedPageBreak/>
        <w:t>23</w:t>
      </w:r>
      <w:r w:rsidRPr="00C2013A">
        <w:rPr>
          <w:b/>
          <w:bCs/>
          <w:vertAlign w:val="superscript"/>
          <w:lang w:val="ro-MD" w:eastAsia="ro-MD"/>
        </w:rPr>
        <w:t>2</w:t>
      </w:r>
      <w:r w:rsidRPr="00C2013A">
        <w:rPr>
          <w:b/>
          <w:bCs/>
          <w:lang w:val="ro-MD" w:eastAsia="ro-MD"/>
        </w:rPr>
        <w:t>.</w:t>
      </w:r>
      <w:r w:rsidRPr="00C2013A">
        <w:rPr>
          <w:lang w:val="ro-MD" w:eastAsia="ro-MD"/>
        </w:rPr>
        <w:t xml:space="preserve"> </w:t>
      </w:r>
      <w:r w:rsidR="00CA5CF6" w:rsidRPr="00C2013A">
        <w:rPr>
          <w:lang w:val="ro-MD" w:eastAsia="ro-MD"/>
        </w:rPr>
        <w:t xml:space="preserve">Un </w:t>
      </w:r>
      <w:r w:rsidRPr="00C2013A">
        <w:rPr>
          <w:lang w:val="ro-MD" w:eastAsia="ro-MD"/>
        </w:rPr>
        <w:t xml:space="preserve">anumit tip de întreprindere recunoscut în temeiul legislației naționale aplicabile se califică drept societate mutuală, organizație cooperatistă de credit, instituție de economii sau instituție similară în sensul prezentului regulament, </w:t>
      </w:r>
      <w:r w:rsidR="00CA5CF6">
        <w:rPr>
          <w:lang w:val="ro-MD" w:eastAsia="ro-MD"/>
        </w:rPr>
        <w:t>în conformitate cu condițiile prevăzute</w:t>
      </w:r>
      <w:r w:rsidRPr="00C2013A">
        <w:rPr>
          <w:lang w:val="ro-MD" w:eastAsia="ro-MD"/>
        </w:rPr>
        <w:t xml:space="preserve"> în anexa 3</w:t>
      </w:r>
      <w:r w:rsidRPr="00C2013A">
        <w:rPr>
          <w:vertAlign w:val="superscript"/>
          <w:lang w:val="ro-MD" w:eastAsia="ro-MD"/>
        </w:rPr>
        <w:t>1</w:t>
      </w:r>
      <w:r w:rsidRPr="00C2013A">
        <w:rPr>
          <w:lang w:val="ro-MD" w:eastAsia="ro-MD"/>
        </w:rPr>
        <w:t>.</w:t>
      </w:r>
    </w:p>
    <w:p w14:paraId="7E63FDC8" w14:textId="723DD37B" w:rsidR="00C2013A" w:rsidRPr="00C2013A" w:rsidRDefault="00C2013A" w:rsidP="00C2013A">
      <w:pPr>
        <w:jc w:val="both"/>
        <w:rPr>
          <w:lang w:val="ro-MD" w:eastAsia="ro-MD"/>
        </w:rPr>
      </w:pPr>
      <w:r w:rsidRPr="00C2013A">
        <w:rPr>
          <w:b/>
          <w:bCs/>
          <w:lang w:val="ro-MD" w:eastAsia="ro-MD"/>
        </w:rPr>
        <w:t>23</w:t>
      </w:r>
      <w:r w:rsidRPr="00C2013A">
        <w:rPr>
          <w:b/>
          <w:bCs/>
          <w:vertAlign w:val="superscript"/>
          <w:lang w:val="ro-MD" w:eastAsia="ro-MD"/>
        </w:rPr>
        <w:t>3</w:t>
      </w:r>
      <w:r w:rsidRPr="00C2013A">
        <w:rPr>
          <w:b/>
          <w:bCs/>
          <w:lang w:val="ro-MD" w:eastAsia="ro-MD"/>
        </w:rPr>
        <w:t>.</w:t>
      </w:r>
      <w:r w:rsidRPr="00C2013A">
        <w:rPr>
          <w:lang w:val="ro-MD" w:eastAsia="ro-MD"/>
        </w:rPr>
        <w:t xml:space="preserve"> Instrumentele de capital emise de societățile mutuale, organizațiile cooperatiste de credit, instituțiile de economii și instituțiile similare se califică drept instrumente de fonduri proprii de nivel 1 de bază numai dacă sunt îndeplinite condițiile prevăzute la subsecțiunea 2 cu modificările care rezultă din aplicarea prezentei subsecțiuni.</w:t>
      </w:r>
      <w:r w:rsidRPr="00C2013A">
        <w:rPr>
          <w:sz w:val="18"/>
          <w:szCs w:val="18"/>
          <w:highlight w:val="lightGray"/>
          <w:lang w:val="ro-MD" w:eastAsia="ro-MD"/>
        </w:rPr>
        <w:t xml:space="preserve"> </w:t>
      </w:r>
    </w:p>
    <w:p w14:paraId="48325E5B" w14:textId="2C86858B" w:rsidR="00C2013A" w:rsidRPr="00C2013A" w:rsidRDefault="00C2013A" w:rsidP="00C2013A">
      <w:pPr>
        <w:jc w:val="both"/>
        <w:rPr>
          <w:lang w:val="ro-MD" w:eastAsia="ro-MD"/>
        </w:rPr>
      </w:pPr>
      <w:r w:rsidRPr="00C2013A">
        <w:rPr>
          <w:b/>
          <w:bCs/>
          <w:lang w:val="ro-MD" w:eastAsia="ro-MD"/>
        </w:rPr>
        <w:t>23</w:t>
      </w:r>
      <w:r w:rsidRPr="00C2013A">
        <w:rPr>
          <w:b/>
          <w:bCs/>
          <w:vertAlign w:val="superscript"/>
          <w:lang w:val="ro-MD" w:eastAsia="ro-MD"/>
        </w:rPr>
        <w:t>4</w:t>
      </w:r>
      <w:r w:rsidRPr="00C2013A">
        <w:rPr>
          <w:b/>
          <w:bCs/>
          <w:lang w:val="ro-MD" w:eastAsia="ro-MD"/>
        </w:rPr>
        <w:t>.</w:t>
      </w:r>
      <w:r w:rsidRPr="00C2013A">
        <w:rPr>
          <w:lang w:val="ro-MD" w:eastAsia="ro-MD"/>
        </w:rPr>
        <w:t xml:space="preserve"> </w:t>
      </w:r>
      <w:r w:rsidR="00BB4480">
        <w:rPr>
          <w:lang w:val="ro-MD" w:eastAsia="ro-MD"/>
        </w:rPr>
        <w:t>În scopul punctului 23</w:t>
      </w:r>
      <w:r w:rsidR="00BB4480" w:rsidRPr="00264552">
        <w:rPr>
          <w:vertAlign w:val="superscript"/>
          <w:lang w:val="ro-MD" w:eastAsia="ro-MD"/>
        </w:rPr>
        <w:t>3</w:t>
      </w:r>
      <w:r w:rsidR="00BB4480">
        <w:rPr>
          <w:lang w:val="ro-MD" w:eastAsia="ro-MD"/>
        </w:rPr>
        <w:t>, t</w:t>
      </w:r>
      <w:r w:rsidRPr="00C2013A">
        <w:rPr>
          <w:lang w:val="ro-MD" w:eastAsia="ro-MD"/>
        </w:rPr>
        <w:t xml:space="preserve">rebuie îndeplinite </w:t>
      </w:r>
      <w:r w:rsidR="00121990" w:rsidRPr="00C2013A">
        <w:rPr>
          <w:lang w:val="ro-MD" w:eastAsia="ro-MD"/>
        </w:rPr>
        <w:t>următoare</w:t>
      </w:r>
      <w:r w:rsidR="00121990">
        <w:rPr>
          <w:lang w:val="ro-MD" w:eastAsia="ro-MD"/>
        </w:rPr>
        <w:t>le</w:t>
      </w:r>
      <w:r w:rsidR="00121990" w:rsidRPr="00C2013A">
        <w:rPr>
          <w:lang w:val="ro-MD" w:eastAsia="ro-MD"/>
        </w:rPr>
        <w:t xml:space="preserve"> </w:t>
      </w:r>
      <w:r w:rsidRPr="00C2013A">
        <w:rPr>
          <w:lang w:val="ro-MD" w:eastAsia="ro-MD"/>
        </w:rPr>
        <w:t>condiții referitoare la răscumpărarea instrumentelor de capital:</w:t>
      </w:r>
    </w:p>
    <w:p w14:paraId="4F5AAC44" w14:textId="77777777" w:rsidR="00C2013A" w:rsidRPr="00C2013A" w:rsidRDefault="00C2013A" w:rsidP="00C2013A">
      <w:pPr>
        <w:jc w:val="both"/>
        <w:rPr>
          <w:lang w:val="ro-MD" w:eastAsia="ro-MD"/>
        </w:rPr>
      </w:pPr>
      <w:r w:rsidRPr="00C2013A">
        <w:rPr>
          <w:lang w:val="ro-MD" w:eastAsia="ro-MD"/>
        </w:rPr>
        <w:t>1) societatea are posibilitatea de a refuza răscumpărarea instrumentelor, cu excepția situațiilor în care se interzice acest lucru în temeiul legislației naționale aplicabile;</w:t>
      </w:r>
    </w:p>
    <w:p w14:paraId="648F7E86" w14:textId="77777777" w:rsidR="00C2013A" w:rsidRPr="00C2013A" w:rsidRDefault="00C2013A" w:rsidP="00C2013A">
      <w:pPr>
        <w:jc w:val="both"/>
        <w:rPr>
          <w:lang w:val="ro-MD" w:eastAsia="ro-MD"/>
        </w:rPr>
      </w:pPr>
      <w:r w:rsidRPr="00C2013A">
        <w:rPr>
          <w:lang w:val="ro-MD" w:eastAsia="ro-MD"/>
        </w:rPr>
        <w:t>2) atunci când refuzul instituției de a răscumpăra instrumentele este interzis în temeiul legislației naționale aplicabile, dispozițiile care reglementează instrumentele oferă societății posibilitatea de a limita răscumpărarea lor;</w:t>
      </w:r>
    </w:p>
    <w:p w14:paraId="6FF5C201" w14:textId="2285FC30" w:rsidR="00C2013A" w:rsidRPr="00C2013A" w:rsidRDefault="00C2013A" w:rsidP="00C2013A">
      <w:pPr>
        <w:jc w:val="both"/>
        <w:rPr>
          <w:lang w:val="ro-MD" w:eastAsia="ro-MD"/>
        </w:rPr>
      </w:pPr>
      <w:r w:rsidRPr="00C2013A">
        <w:rPr>
          <w:lang w:val="ro-MD" w:eastAsia="ro-MD"/>
        </w:rPr>
        <w:t>3) refuzul de a răscumpăra instrumentele sau limitarea răscumpărării instrumentelor, după caz, nu poate constitui un eveniment de nerambursare pentru societatea respectivă.</w:t>
      </w:r>
    </w:p>
    <w:p w14:paraId="42208CB6" w14:textId="617F913B" w:rsidR="00C2013A" w:rsidRPr="00C2013A" w:rsidRDefault="00C2013A" w:rsidP="00C2013A">
      <w:pPr>
        <w:jc w:val="both"/>
        <w:rPr>
          <w:lang w:val="ro-MD" w:eastAsia="ro-MD"/>
        </w:rPr>
      </w:pPr>
      <w:r w:rsidRPr="00C2013A">
        <w:rPr>
          <w:b/>
          <w:bCs/>
          <w:lang w:val="ro-MD" w:eastAsia="ro-MD"/>
        </w:rPr>
        <w:t>23</w:t>
      </w:r>
      <w:r w:rsidRPr="00C2013A">
        <w:rPr>
          <w:b/>
          <w:bCs/>
          <w:vertAlign w:val="superscript"/>
          <w:lang w:val="ro-MD" w:eastAsia="ro-MD"/>
        </w:rPr>
        <w:t>5</w:t>
      </w:r>
      <w:r w:rsidRPr="00C2013A">
        <w:rPr>
          <w:b/>
          <w:bCs/>
          <w:lang w:val="ro-MD" w:eastAsia="ro-MD"/>
        </w:rPr>
        <w:t>.</w:t>
      </w:r>
      <w:r w:rsidRPr="00C2013A">
        <w:rPr>
          <w:lang w:val="ro-MD" w:eastAsia="ro-MD"/>
        </w:rPr>
        <w:t xml:space="preserve"> Instrumentele de capital pot include un plafon sau o restricție privind nivelul maxim de distribuiri numai în cazul în care plafonul sau restricția respectivă sunt prevăzute în legislația națională aplicabilă sau în actul constitutiv al societății.</w:t>
      </w:r>
      <w:r w:rsidRPr="00C2013A">
        <w:rPr>
          <w:sz w:val="18"/>
          <w:szCs w:val="18"/>
          <w:highlight w:val="lightGray"/>
          <w:lang w:val="ro-MD" w:eastAsia="ro-MD"/>
        </w:rPr>
        <w:t xml:space="preserve"> </w:t>
      </w:r>
    </w:p>
    <w:p w14:paraId="75C2EEC4" w14:textId="6309BB75" w:rsidR="00C2013A" w:rsidRPr="00C2013A" w:rsidRDefault="00C2013A" w:rsidP="00C2013A">
      <w:pPr>
        <w:jc w:val="both"/>
        <w:rPr>
          <w:lang w:val="ro-MD" w:eastAsia="ro-MD"/>
        </w:rPr>
      </w:pPr>
      <w:r w:rsidRPr="00C2013A">
        <w:rPr>
          <w:b/>
          <w:bCs/>
          <w:lang w:val="ro-MD" w:eastAsia="ro-MD"/>
        </w:rPr>
        <w:t>23</w:t>
      </w:r>
      <w:r w:rsidRPr="00C2013A">
        <w:rPr>
          <w:b/>
          <w:bCs/>
          <w:vertAlign w:val="superscript"/>
          <w:lang w:val="ro-MD" w:eastAsia="ro-MD"/>
        </w:rPr>
        <w:t>6</w:t>
      </w:r>
      <w:r w:rsidRPr="00C2013A">
        <w:rPr>
          <w:b/>
          <w:bCs/>
          <w:lang w:val="ro-MD" w:eastAsia="ro-MD"/>
        </w:rPr>
        <w:t>.</w:t>
      </w:r>
      <w:r w:rsidRPr="00C2013A">
        <w:rPr>
          <w:lang w:val="ro-MD" w:eastAsia="ro-MD"/>
        </w:rPr>
        <w:t xml:space="preserve"> Dacă instrumentele de capital conferă proprietarului drepturi asupra rezervelor societății în caz de insolvabilitate sau de lichidare care se limitează la valoarea nominală a instrumentelor, o astfel de limitare se aplică în aceeași măsură pentru deținătorii tuturor celorlalte instrumente de fonduri proprii de nivel 1 de bază emise de societatea respectivă. </w:t>
      </w:r>
    </w:p>
    <w:p w14:paraId="524ECE70" w14:textId="3FBDE1BD" w:rsidR="00C2013A" w:rsidRDefault="00C2013A" w:rsidP="00C2013A">
      <w:pPr>
        <w:jc w:val="both"/>
        <w:rPr>
          <w:lang w:val="ro-MD" w:eastAsia="ro-MD"/>
        </w:rPr>
      </w:pPr>
      <w:r w:rsidRPr="00C2013A">
        <w:rPr>
          <w:b/>
          <w:bCs/>
          <w:lang w:val="ro-MD" w:eastAsia="ro-MD"/>
        </w:rPr>
        <w:t>23</w:t>
      </w:r>
      <w:r w:rsidRPr="00C2013A">
        <w:rPr>
          <w:b/>
          <w:bCs/>
          <w:vertAlign w:val="superscript"/>
          <w:lang w:val="ro-MD" w:eastAsia="ro-MD"/>
        </w:rPr>
        <w:t>7</w:t>
      </w:r>
      <w:r w:rsidRPr="00C2013A">
        <w:rPr>
          <w:b/>
          <w:bCs/>
          <w:lang w:val="ro-MD" w:eastAsia="ro-MD"/>
        </w:rPr>
        <w:t>.</w:t>
      </w:r>
      <w:r w:rsidRPr="00C2013A">
        <w:rPr>
          <w:lang w:val="ro-MD" w:eastAsia="ro-MD"/>
        </w:rPr>
        <w:t xml:space="preserve"> Condiția menționată la punctul 23</w:t>
      </w:r>
      <w:r w:rsidRPr="00C2013A">
        <w:rPr>
          <w:vertAlign w:val="superscript"/>
          <w:lang w:val="ro-MD" w:eastAsia="ro-MD"/>
        </w:rPr>
        <w:t>6</w:t>
      </w:r>
      <w:r w:rsidRPr="00C2013A">
        <w:rPr>
          <w:lang w:val="ro-MD" w:eastAsia="ro-MD"/>
        </w:rPr>
        <w:t xml:space="preserve"> nu aduce atingere posibilității ca o societate mutuală, o organizație cooperatistă de credit, o instituție de economii sau o instituție similară să includă în cadrul fondurilor proprii de nivel 1 de bază instrumente care nu </w:t>
      </w:r>
      <w:r w:rsidR="00B35B82">
        <w:rPr>
          <w:lang w:val="ro-MD" w:eastAsia="ro-MD"/>
        </w:rPr>
        <w:t>oferă</w:t>
      </w:r>
      <w:r w:rsidR="00B35B82" w:rsidRPr="00C2013A">
        <w:rPr>
          <w:lang w:val="ro-MD" w:eastAsia="ro-MD"/>
        </w:rPr>
        <w:t xml:space="preserve"> </w:t>
      </w:r>
      <w:r w:rsidRPr="00C2013A">
        <w:rPr>
          <w:lang w:val="ro-MD" w:eastAsia="ro-MD"/>
        </w:rPr>
        <w:t>deținătorului drepturi de vot și care îndeplinesc cumulativ următoarele condiții:</w:t>
      </w:r>
    </w:p>
    <w:p w14:paraId="345274A2" w14:textId="7289EAFF" w:rsidR="00C2013A" w:rsidRPr="00C2013A" w:rsidRDefault="00C2013A" w:rsidP="00C2013A">
      <w:pPr>
        <w:jc w:val="both"/>
        <w:rPr>
          <w:lang w:val="ro-MD" w:eastAsia="ro-MD"/>
        </w:rPr>
      </w:pPr>
      <w:r w:rsidRPr="00C2013A">
        <w:rPr>
          <w:lang w:val="ro-MD" w:eastAsia="ro-MD"/>
        </w:rPr>
        <w:t>1) creanța deținătorilor instrumentelor fără drept de vot în caz de insolv</w:t>
      </w:r>
      <w:r w:rsidR="00555383">
        <w:rPr>
          <w:lang w:val="ro-MD" w:eastAsia="ro-MD"/>
        </w:rPr>
        <w:t>abilitate</w:t>
      </w:r>
      <w:r w:rsidRPr="00C2013A">
        <w:rPr>
          <w:lang w:val="ro-MD" w:eastAsia="ro-MD"/>
        </w:rPr>
        <w:t xml:space="preserve"> sau de lichidare a societății este proporțională cu ponderea pe care acele instrumente fără drept de vot o au în totalul instrumentelor de fonduri proprii de nivel 1 de bază;</w:t>
      </w:r>
    </w:p>
    <w:p w14:paraId="3B97A24F" w14:textId="77777777" w:rsidR="00C2013A" w:rsidRDefault="00C2013A" w:rsidP="00C2013A">
      <w:pPr>
        <w:jc w:val="both"/>
        <w:rPr>
          <w:lang w:val="ro-MD" w:eastAsia="ro-MD"/>
        </w:rPr>
      </w:pPr>
      <w:r w:rsidRPr="00C2013A">
        <w:rPr>
          <w:lang w:val="ro-MD" w:eastAsia="ro-MD"/>
        </w:rPr>
        <w:t>2) instrumentele se încadrează, pe baza altor criterii, în categoria instrumentelor de fonduri proprii de nivel 1 de bază.</w:t>
      </w:r>
    </w:p>
    <w:p w14:paraId="6AF2C1DE" w14:textId="6980A856" w:rsidR="00CA1F4A" w:rsidRDefault="00C2013A" w:rsidP="00C2013A">
      <w:pPr>
        <w:jc w:val="both"/>
        <w:rPr>
          <w:lang w:val="ro-MD" w:eastAsia="ro-MD"/>
        </w:rPr>
      </w:pPr>
      <w:r w:rsidRPr="00C2013A">
        <w:rPr>
          <w:b/>
          <w:bCs/>
          <w:lang w:val="ro-MD" w:eastAsia="ro-MD"/>
        </w:rPr>
        <w:t>23</w:t>
      </w:r>
      <w:r w:rsidRPr="00C2013A">
        <w:rPr>
          <w:b/>
          <w:bCs/>
          <w:vertAlign w:val="superscript"/>
          <w:lang w:val="ro-MD" w:eastAsia="ro-MD"/>
        </w:rPr>
        <w:t>8</w:t>
      </w:r>
      <w:r w:rsidRPr="00C2013A">
        <w:rPr>
          <w:b/>
          <w:bCs/>
          <w:lang w:val="ro-MD" w:eastAsia="ro-MD"/>
        </w:rPr>
        <w:t xml:space="preserve">. </w:t>
      </w:r>
      <w:r w:rsidRPr="00C2013A">
        <w:rPr>
          <w:lang w:val="ro-MD" w:eastAsia="ro-MD"/>
        </w:rPr>
        <w:t xml:space="preserve">Dacă instrumentele de capital </w:t>
      </w:r>
      <w:r w:rsidR="00B35B82">
        <w:rPr>
          <w:lang w:val="ro-MD" w:eastAsia="ro-MD"/>
        </w:rPr>
        <w:t>oferă</w:t>
      </w:r>
      <w:r w:rsidRPr="00C2013A">
        <w:rPr>
          <w:lang w:val="ro-MD" w:eastAsia="ro-MD"/>
        </w:rPr>
        <w:t xml:space="preserve"> proprietarilor lor dreptul la o creanță asupra activelor societății în caz de insolvabilitate sau de lichidare care este fixă sau plafonată, o astfel de limitare se aplică în aceeași măsură tuturor deținătorilor de instrumente de fonduri proprii de nivel 1 de bază emise de societate.</w:t>
      </w:r>
      <w:r>
        <w:rPr>
          <w:lang w:val="ro-MD" w:eastAsia="ro-MD"/>
        </w:rPr>
        <w:t>”.</w:t>
      </w:r>
    </w:p>
    <w:p w14:paraId="35B31B5E" w14:textId="28BAC6EE" w:rsidR="00A3641C" w:rsidRPr="007F1A8A" w:rsidRDefault="00831DDD" w:rsidP="007F1A8A">
      <w:pPr>
        <w:pStyle w:val="ListParagraph"/>
        <w:numPr>
          <w:ilvl w:val="1"/>
          <w:numId w:val="27"/>
        </w:numPr>
        <w:tabs>
          <w:tab w:val="left" w:pos="426"/>
          <w:tab w:val="left" w:pos="567"/>
        </w:tabs>
        <w:spacing w:before="80"/>
        <w:ind w:left="0" w:firstLine="567"/>
        <w:jc w:val="both"/>
        <w:rPr>
          <w:lang w:val="ro-MD"/>
        </w:rPr>
      </w:pPr>
      <w:r>
        <w:rPr>
          <w:lang w:val="ro-MD"/>
        </w:rPr>
        <w:t>La s</w:t>
      </w:r>
      <w:r w:rsidR="00A3641C" w:rsidRPr="0012338B">
        <w:rPr>
          <w:lang w:val="ro-MD"/>
        </w:rPr>
        <w:t>ecțiunea a 2-a</w:t>
      </w:r>
      <w:r w:rsidRPr="00831DDD">
        <w:t xml:space="preserve"> </w:t>
      </w:r>
      <w:r>
        <w:t>„</w:t>
      </w:r>
      <w:r w:rsidRPr="00831DDD">
        <w:rPr>
          <w:lang w:val="ro-MD"/>
        </w:rPr>
        <w:t xml:space="preserve">Filtre </w:t>
      </w:r>
      <w:r w:rsidR="007F1A8A" w:rsidRPr="00831DDD">
        <w:rPr>
          <w:lang w:val="ro-MD"/>
        </w:rPr>
        <w:t>prudențiale</w:t>
      </w:r>
      <w:r w:rsidRPr="00831DDD">
        <w:rPr>
          <w:lang w:val="ro-MD"/>
        </w:rPr>
        <w:t xml:space="preserve"> aferente acoperirii fluxurilor de trezorerie, modificării</w:t>
      </w:r>
      <w:r w:rsidR="007F1A8A">
        <w:rPr>
          <w:lang w:val="ro-MD"/>
        </w:rPr>
        <w:t xml:space="preserve"> </w:t>
      </w:r>
      <w:r w:rsidRPr="007F1A8A">
        <w:rPr>
          <w:lang w:val="ro-MD"/>
        </w:rPr>
        <w:t>valorii datoriilor proprii și ajustări de valoare suplimentare”,</w:t>
      </w:r>
      <w:r w:rsidR="00A3641C" w:rsidRPr="007F1A8A">
        <w:rPr>
          <w:lang w:val="ro-MD"/>
        </w:rPr>
        <w:t xml:space="preserve"> capitolul III:</w:t>
      </w:r>
    </w:p>
    <w:p w14:paraId="4C493302" w14:textId="07C6CEE7" w:rsidR="00396DFF" w:rsidRPr="00396DFF" w:rsidRDefault="00396DFF" w:rsidP="007F1A8A">
      <w:pPr>
        <w:pStyle w:val="ListParagraph"/>
        <w:numPr>
          <w:ilvl w:val="2"/>
          <w:numId w:val="27"/>
        </w:numPr>
        <w:tabs>
          <w:tab w:val="left" w:pos="426"/>
          <w:tab w:val="left" w:pos="567"/>
        </w:tabs>
        <w:spacing w:before="80"/>
        <w:ind w:left="0" w:firstLine="567"/>
        <w:jc w:val="both"/>
        <w:rPr>
          <w:lang w:val="ro-MD"/>
        </w:rPr>
      </w:pPr>
      <w:r w:rsidRPr="00396DFF">
        <w:rPr>
          <w:lang w:val="ro-RO"/>
        </w:rPr>
        <w:t>în denumirea</w:t>
      </w:r>
      <w:r w:rsidRPr="00396DFF">
        <w:rPr>
          <w:lang w:val="ro-MD"/>
        </w:rPr>
        <w:t xml:space="preserve"> secțiunii, după cuvântul „aferente” se completează cu </w:t>
      </w:r>
      <w:r w:rsidR="007E2308">
        <w:rPr>
          <w:lang w:val="ro-MD"/>
        </w:rPr>
        <w:t>textul</w:t>
      </w:r>
      <w:r w:rsidR="007E2308" w:rsidRPr="00396DFF">
        <w:rPr>
          <w:lang w:val="ro-MD"/>
        </w:rPr>
        <w:t xml:space="preserve"> </w:t>
      </w:r>
      <w:r w:rsidRPr="00396DFF">
        <w:rPr>
          <w:lang w:val="ro-MD"/>
        </w:rPr>
        <w:t>„activelor securitizate</w:t>
      </w:r>
      <w:r w:rsidR="007E2308">
        <w:rPr>
          <w:lang w:val="ro-MD"/>
        </w:rPr>
        <w:t>,</w:t>
      </w:r>
      <w:r w:rsidRPr="00396DFF">
        <w:rPr>
          <w:lang w:val="ro-MD"/>
        </w:rPr>
        <w:t>”;</w:t>
      </w:r>
    </w:p>
    <w:p w14:paraId="2F36BDD4" w14:textId="70FC175B" w:rsidR="00396DFF" w:rsidRPr="00396DFF" w:rsidRDefault="00396DFF" w:rsidP="00396DFF">
      <w:pPr>
        <w:pStyle w:val="ListParagraph"/>
        <w:numPr>
          <w:ilvl w:val="2"/>
          <w:numId w:val="27"/>
        </w:numPr>
        <w:tabs>
          <w:tab w:val="left" w:pos="426"/>
          <w:tab w:val="left" w:pos="567"/>
        </w:tabs>
        <w:spacing w:before="80"/>
        <w:ind w:left="-142" w:firstLine="709"/>
        <w:jc w:val="both"/>
        <w:rPr>
          <w:lang w:val="ro-MD"/>
        </w:rPr>
      </w:pPr>
      <w:bookmarkStart w:id="4" w:name="_Hlk206669406"/>
      <w:r w:rsidRPr="00396DFF">
        <w:rPr>
          <w:lang w:val="ro-MD"/>
        </w:rPr>
        <w:t>secțiunea a 2-a  se completează cu punctele 25</w:t>
      </w:r>
      <w:r w:rsidRPr="00396DFF">
        <w:rPr>
          <w:vertAlign w:val="superscript"/>
          <w:lang w:val="ro-MD"/>
        </w:rPr>
        <w:t>1</w:t>
      </w:r>
      <w:r w:rsidRPr="00396DFF">
        <w:rPr>
          <w:lang w:val="ro-MD"/>
        </w:rPr>
        <w:t xml:space="preserve"> și 25</w:t>
      </w:r>
      <w:r w:rsidRPr="00396DFF">
        <w:rPr>
          <w:vertAlign w:val="superscript"/>
          <w:lang w:val="ro-MD"/>
        </w:rPr>
        <w:t>2</w:t>
      </w:r>
      <w:r w:rsidRPr="00396DFF">
        <w:rPr>
          <w:lang w:val="ro-MD"/>
        </w:rPr>
        <w:t xml:space="preserve"> cu următorul cuprins:</w:t>
      </w:r>
    </w:p>
    <w:bookmarkEnd w:id="4"/>
    <w:p w14:paraId="621D2948" w14:textId="77777777" w:rsidR="00396DFF" w:rsidRPr="00396DFF" w:rsidRDefault="00396DFF" w:rsidP="00396DFF">
      <w:pPr>
        <w:pStyle w:val="ListParagraph"/>
        <w:ind w:left="0"/>
        <w:jc w:val="both"/>
        <w:rPr>
          <w:lang w:val="ro-MD" w:eastAsia="ro-MD"/>
        </w:rPr>
      </w:pPr>
      <w:r w:rsidRPr="00396DFF">
        <w:rPr>
          <w:lang w:val="ro-MD" w:eastAsia="ro-MD"/>
        </w:rPr>
        <w:t>„</w:t>
      </w:r>
      <w:r w:rsidRPr="00396DFF">
        <w:rPr>
          <w:b/>
          <w:bCs/>
          <w:lang w:val="ro-MD" w:eastAsia="ro-MD"/>
        </w:rPr>
        <w:t>25</w:t>
      </w:r>
      <w:r w:rsidRPr="00396DFF">
        <w:rPr>
          <w:b/>
          <w:bCs/>
          <w:vertAlign w:val="superscript"/>
          <w:lang w:val="ro-MD" w:eastAsia="ro-MD"/>
        </w:rPr>
        <w:t>1</w:t>
      </w:r>
      <w:r w:rsidRPr="00396DFF">
        <w:rPr>
          <w:b/>
          <w:bCs/>
          <w:lang w:val="ro-MD" w:eastAsia="ro-MD"/>
        </w:rPr>
        <w:t xml:space="preserve">. </w:t>
      </w:r>
      <w:r w:rsidRPr="00396DFF">
        <w:rPr>
          <w:lang w:val="ro-MD" w:eastAsia="ro-MD"/>
        </w:rPr>
        <w:t>Banca exclude din cadrul oricărui element al fondurilor proprii orice creștere a capitalurilor proprii în conformitate cu cadrul contabil care rezultă din active securitizate, inclusiv următoarele:</w:t>
      </w:r>
    </w:p>
    <w:p w14:paraId="13C5A300" w14:textId="77777777" w:rsidR="00396DFF" w:rsidRPr="00396DFF" w:rsidRDefault="00396DFF" w:rsidP="00396DFF">
      <w:pPr>
        <w:pStyle w:val="ListParagraph"/>
        <w:ind w:left="0"/>
        <w:jc w:val="both"/>
        <w:rPr>
          <w:lang w:val="ro-MD" w:eastAsia="ro-MD"/>
        </w:rPr>
      </w:pPr>
      <w:r w:rsidRPr="00396DFF">
        <w:rPr>
          <w:lang w:val="ro-MD" w:eastAsia="ro-MD"/>
        </w:rPr>
        <w:t>1) o astfel de creștere asociată cu venitul viitor din marja care duce la un câștig rezultat din vânzare pentru banc</w:t>
      </w:r>
      <w:r w:rsidRPr="00396DFF">
        <w:rPr>
          <w:lang w:val="ro-RO" w:eastAsia="ro-MD"/>
        </w:rPr>
        <w:t>ă</w:t>
      </w:r>
      <w:r w:rsidRPr="00396DFF">
        <w:rPr>
          <w:lang w:val="ro-MD" w:eastAsia="ro-MD"/>
        </w:rPr>
        <w:t>;</w:t>
      </w:r>
    </w:p>
    <w:p w14:paraId="200AE36F" w14:textId="77777777" w:rsidR="00396DFF" w:rsidRPr="00396DFF" w:rsidRDefault="00396DFF" w:rsidP="00396DFF">
      <w:pPr>
        <w:pStyle w:val="ListParagraph"/>
        <w:ind w:left="0"/>
        <w:jc w:val="both"/>
        <w:rPr>
          <w:lang w:val="ro-MD" w:eastAsia="ro-MD"/>
        </w:rPr>
      </w:pPr>
      <w:r w:rsidRPr="00396DFF">
        <w:rPr>
          <w:lang w:val="ro-MD" w:eastAsia="ro-MD"/>
        </w:rPr>
        <w:t>2) dacă banca este inițiatoarea unei securitizări, câștigurile nete care rezultă din capitalizarea veniturilor viitoare din activele securitizate care asigură o îmbunătățire a calității creditului pentru pozițiile din securitizare.</w:t>
      </w:r>
    </w:p>
    <w:p w14:paraId="5CC3E826" w14:textId="09E4AB9C" w:rsidR="00396DFF" w:rsidRPr="00396DFF" w:rsidRDefault="00396DFF" w:rsidP="00396DFF">
      <w:pPr>
        <w:pStyle w:val="ListParagraph"/>
        <w:tabs>
          <w:tab w:val="left" w:pos="567"/>
          <w:tab w:val="left" w:pos="851"/>
        </w:tabs>
        <w:ind w:left="0"/>
        <w:jc w:val="both"/>
        <w:rPr>
          <w:lang w:val="ro-MD" w:eastAsia="ro-MD"/>
        </w:rPr>
      </w:pPr>
      <w:r w:rsidRPr="00396DFF">
        <w:rPr>
          <w:b/>
          <w:bCs/>
          <w:lang w:val="ro-MD" w:eastAsia="ro-MD"/>
        </w:rPr>
        <w:lastRenderedPageBreak/>
        <w:t>25</w:t>
      </w:r>
      <w:r w:rsidRPr="00396DFF">
        <w:rPr>
          <w:b/>
          <w:bCs/>
          <w:vertAlign w:val="superscript"/>
          <w:lang w:val="ro-MD" w:eastAsia="ro-MD"/>
        </w:rPr>
        <w:t>2</w:t>
      </w:r>
      <w:r w:rsidRPr="00396DFF">
        <w:rPr>
          <w:b/>
          <w:bCs/>
          <w:lang w:val="ro-MD" w:eastAsia="ro-MD"/>
        </w:rPr>
        <w:t>.</w:t>
      </w:r>
      <w:r w:rsidRPr="00396DFF">
        <w:rPr>
          <w:lang w:val="ro-MD" w:eastAsia="ro-MD"/>
        </w:rPr>
        <w:t xml:space="preserve"> În sensul punctului 25</w:t>
      </w:r>
      <w:r w:rsidRPr="00396DFF">
        <w:rPr>
          <w:vertAlign w:val="superscript"/>
          <w:lang w:val="ro-MD" w:eastAsia="ro-MD"/>
        </w:rPr>
        <w:t>1</w:t>
      </w:r>
      <w:r w:rsidRPr="00396DFF">
        <w:rPr>
          <w:lang w:val="ro-MD" w:eastAsia="ro-MD"/>
        </w:rPr>
        <w:t xml:space="preserve"> subpunctul 1)</w:t>
      </w:r>
      <w:r w:rsidR="00780F8F">
        <w:rPr>
          <w:lang w:val="ro-MD" w:eastAsia="ro-MD"/>
        </w:rPr>
        <w:t>,</w:t>
      </w:r>
      <w:r w:rsidRPr="00396DFF">
        <w:rPr>
          <w:lang w:val="ro-MD" w:eastAsia="ro-MD"/>
        </w:rPr>
        <w:t xml:space="preserve"> semnificația conceptului „câștig rezultat din vânzare” este prezentată în anexa 1.”.</w:t>
      </w:r>
    </w:p>
    <w:p w14:paraId="40C95BB1" w14:textId="7D737009" w:rsidR="006843FE" w:rsidRPr="00396DFF" w:rsidRDefault="00B63FA9" w:rsidP="00E91829">
      <w:pPr>
        <w:pStyle w:val="ListParagraph"/>
        <w:numPr>
          <w:ilvl w:val="1"/>
          <w:numId w:val="27"/>
        </w:numPr>
        <w:tabs>
          <w:tab w:val="left" w:pos="426"/>
          <w:tab w:val="left" w:pos="567"/>
          <w:tab w:val="left" w:pos="851"/>
        </w:tabs>
        <w:spacing w:before="80"/>
        <w:ind w:left="0" w:firstLine="567"/>
        <w:contextualSpacing w:val="0"/>
        <w:jc w:val="both"/>
        <w:rPr>
          <w:lang w:val="ro-MD" w:eastAsia="ro-MD"/>
        </w:rPr>
      </w:pPr>
      <w:r w:rsidRPr="00396DFF">
        <w:rPr>
          <w:lang w:val="ro-MD"/>
        </w:rPr>
        <w:t>S</w:t>
      </w:r>
      <w:r w:rsidR="006843FE" w:rsidRPr="00396DFF">
        <w:rPr>
          <w:lang w:val="ro-MD"/>
        </w:rPr>
        <w:t>e completează cu punctele 27</w:t>
      </w:r>
      <w:r w:rsidR="006843FE" w:rsidRPr="00396DFF">
        <w:rPr>
          <w:vertAlign w:val="superscript"/>
          <w:lang w:val="ro-MD"/>
        </w:rPr>
        <w:t>1</w:t>
      </w:r>
      <w:r w:rsidR="006843FE" w:rsidRPr="00396DFF">
        <w:rPr>
          <w:lang w:val="ro-MD"/>
        </w:rPr>
        <w:t xml:space="preserve"> </w:t>
      </w:r>
      <w:r w:rsidR="0032258E">
        <w:rPr>
          <w:lang w:val="ro-MD"/>
        </w:rPr>
        <w:t>-</w:t>
      </w:r>
      <w:r w:rsidR="0032258E" w:rsidRPr="00396DFF">
        <w:rPr>
          <w:lang w:val="ro-MD"/>
        </w:rPr>
        <w:t xml:space="preserve"> </w:t>
      </w:r>
      <w:r w:rsidR="006843FE" w:rsidRPr="00396DFF">
        <w:rPr>
          <w:lang w:val="ro-MD"/>
        </w:rPr>
        <w:t>27</w:t>
      </w:r>
      <w:r w:rsidR="0032258E">
        <w:rPr>
          <w:vertAlign w:val="superscript"/>
          <w:lang w:val="ro-MD"/>
        </w:rPr>
        <w:t>3</w:t>
      </w:r>
      <w:r w:rsidR="006843FE" w:rsidRPr="00396DFF">
        <w:rPr>
          <w:lang w:val="ro-MD"/>
        </w:rPr>
        <w:t xml:space="preserve"> cu următorul cuprins:</w:t>
      </w:r>
    </w:p>
    <w:p w14:paraId="3FD9CFAD" w14:textId="579C72C6" w:rsidR="006843FE" w:rsidRPr="006843FE" w:rsidRDefault="00396DFF" w:rsidP="006843FE">
      <w:pPr>
        <w:jc w:val="both"/>
        <w:rPr>
          <w:lang w:val="ro-MD" w:eastAsia="ro-MD"/>
        </w:rPr>
      </w:pPr>
      <w:r w:rsidRPr="00396DFF">
        <w:rPr>
          <w:lang w:val="ro-MD" w:eastAsia="ro-MD"/>
        </w:rPr>
        <w:t>„</w:t>
      </w:r>
      <w:r w:rsidR="006843FE" w:rsidRPr="006843FE">
        <w:rPr>
          <w:b/>
          <w:bCs/>
          <w:lang w:val="ro-MD" w:eastAsia="ro-MD"/>
        </w:rPr>
        <w:t>27</w:t>
      </w:r>
      <w:r w:rsidR="006843FE" w:rsidRPr="006843FE">
        <w:rPr>
          <w:b/>
          <w:bCs/>
          <w:vertAlign w:val="superscript"/>
          <w:lang w:val="ro-MD" w:eastAsia="ro-MD"/>
        </w:rPr>
        <w:t>1</w:t>
      </w:r>
      <w:r w:rsidR="006843FE" w:rsidRPr="006843FE">
        <w:rPr>
          <w:b/>
          <w:bCs/>
          <w:lang w:val="ro-MD" w:eastAsia="ro-MD"/>
        </w:rPr>
        <w:t>.</w:t>
      </w:r>
      <w:r w:rsidR="006843FE" w:rsidRPr="006843FE">
        <w:rPr>
          <w:lang w:val="ro-MD" w:eastAsia="ro-MD"/>
        </w:rPr>
        <w:t xml:space="preserve"> Fără a aduce atingere punctului 26 subpunctul </w:t>
      </w:r>
      <w:r w:rsidR="00994CA4">
        <w:rPr>
          <w:lang w:val="ro-MD" w:eastAsia="ro-MD"/>
        </w:rPr>
        <w:t>2</w:t>
      </w:r>
      <w:r w:rsidR="006843FE" w:rsidRPr="006843FE">
        <w:rPr>
          <w:lang w:val="ro-MD" w:eastAsia="ro-MD"/>
        </w:rPr>
        <w:t>), băncile pot include cuantumul câștigurilor și a</w:t>
      </w:r>
      <w:r w:rsidR="00DF041E">
        <w:rPr>
          <w:lang w:val="ro-MD" w:eastAsia="ro-MD"/>
        </w:rPr>
        <w:t>l</w:t>
      </w:r>
      <w:r w:rsidR="006843FE" w:rsidRPr="006843FE">
        <w:rPr>
          <w:lang w:val="ro-MD" w:eastAsia="ro-MD"/>
        </w:rPr>
        <w:t xml:space="preserve"> pierderilor aferente datoriilor lor în fondurile proprii atunci când sunt îndeplinite cumulativ următoarele condiții:</w:t>
      </w:r>
    </w:p>
    <w:p w14:paraId="220102C1" w14:textId="4FB2AFA3" w:rsidR="006843FE" w:rsidRPr="006843FE" w:rsidRDefault="006843FE" w:rsidP="002B3326">
      <w:pPr>
        <w:jc w:val="both"/>
        <w:rPr>
          <w:lang w:val="ro-MD" w:eastAsia="ro-MD"/>
        </w:rPr>
      </w:pPr>
      <w:r w:rsidRPr="006843FE">
        <w:rPr>
          <w:lang w:val="ro-MD" w:eastAsia="ro-MD"/>
        </w:rPr>
        <w:t>1) datoriile sunt sub formă de obligațiuni și îndeplinesc condițiile menționate la articolul 112 din Legea nr. 171/2012 privind piața de capital, astfel cum se aplică la data la care au fost emise sau sunt obligațiuni garantate în conformitate cu actele normative privind obligațiunile garantate;</w:t>
      </w:r>
    </w:p>
    <w:p w14:paraId="1BD376F7" w14:textId="77777777" w:rsidR="006843FE" w:rsidRPr="006843FE" w:rsidRDefault="006843FE" w:rsidP="002B3326">
      <w:pPr>
        <w:jc w:val="both"/>
        <w:rPr>
          <w:lang w:val="ro-MD" w:eastAsia="ro-MD"/>
        </w:rPr>
      </w:pPr>
      <w:r w:rsidRPr="006843FE">
        <w:rPr>
          <w:lang w:val="ro-MD" w:eastAsia="ro-MD"/>
        </w:rPr>
        <w:t>2) modificările valorii activelor și datoriilor băncii se datorează acelorași modificări ale calității creditului băncii;</w:t>
      </w:r>
    </w:p>
    <w:p w14:paraId="1A8794D6" w14:textId="77777777" w:rsidR="006843FE" w:rsidRPr="006843FE" w:rsidRDefault="006843FE" w:rsidP="002B3326">
      <w:pPr>
        <w:jc w:val="both"/>
        <w:rPr>
          <w:lang w:val="ro-MD" w:eastAsia="ro-MD"/>
        </w:rPr>
      </w:pPr>
      <w:r w:rsidRPr="006843FE">
        <w:rPr>
          <w:lang w:val="ro-MD" w:eastAsia="ro-MD"/>
        </w:rPr>
        <w:t>3) există o legătură strânsă între valoarea obligațiunilor menționate la subpunctul 1) și valoarea activelor băncii;</w:t>
      </w:r>
    </w:p>
    <w:p w14:paraId="5E658492" w14:textId="24DD0FC5" w:rsidR="006843FE" w:rsidRPr="006843FE" w:rsidRDefault="006843FE" w:rsidP="002B3326">
      <w:pPr>
        <w:jc w:val="both"/>
        <w:rPr>
          <w:lang w:val="ro-MD" w:eastAsia="ro-MD"/>
        </w:rPr>
      </w:pPr>
      <w:r w:rsidRPr="006843FE">
        <w:rPr>
          <w:lang w:val="ro-MD" w:eastAsia="ro-MD"/>
        </w:rPr>
        <w:t>4) există posibilitatea de a rambursa creditele ipotecare răscumpărând obligațiunile care finanțează creditele ipotecare la valoarea de piață sau cea nominală.</w:t>
      </w:r>
    </w:p>
    <w:p w14:paraId="779BC308" w14:textId="27EBED99" w:rsidR="006843FE" w:rsidRPr="006843FE" w:rsidRDefault="006843FE" w:rsidP="00E95446">
      <w:pPr>
        <w:jc w:val="both"/>
        <w:rPr>
          <w:lang w:val="ro-MD" w:eastAsia="ro-MD"/>
        </w:rPr>
      </w:pPr>
      <w:r w:rsidRPr="006843FE">
        <w:rPr>
          <w:b/>
          <w:bCs/>
          <w:lang w:val="ro-MD" w:eastAsia="ro-MD"/>
        </w:rPr>
        <w:t>27</w:t>
      </w:r>
      <w:r w:rsidRPr="006843FE">
        <w:rPr>
          <w:b/>
          <w:bCs/>
          <w:vertAlign w:val="superscript"/>
          <w:lang w:val="ro-MD" w:eastAsia="ro-MD"/>
        </w:rPr>
        <w:t>2</w:t>
      </w:r>
      <w:r w:rsidRPr="006843FE">
        <w:rPr>
          <w:b/>
          <w:bCs/>
          <w:lang w:val="ro-MD" w:eastAsia="ro-MD"/>
        </w:rPr>
        <w:t>.</w:t>
      </w:r>
      <w:r w:rsidRPr="006843FE">
        <w:rPr>
          <w:lang w:val="ro-MD" w:eastAsia="ro-MD"/>
        </w:rPr>
        <w:t xml:space="preserve"> În sensul punctului 27</w:t>
      </w:r>
      <w:r w:rsidRPr="006843FE">
        <w:rPr>
          <w:vertAlign w:val="superscript"/>
          <w:lang w:val="ro-MD" w:eastAsia="ro-MD"/>
        </w:rPr>
        <w:t>1</w:t>
      </w:r>
      <w:r w:rsidRPr="006843FE">
        <w:rPr>
          <w:lang w:val="ro-MD" w:eastAsia="ro-MD"/>
        </w:rPr>
        <w:t xml:space="preserve"> subpunctul 3)</w:t>
      </w:r>
      <w:r w:rsidR="00780F8F">
        <w:rPr>
          <w:lang w:val="ro-MD" w:eastAsia="ro-MD"/>
        </w:rPr>
        <w:t>,</w:t>
      </w:r>
      <w:r w:rsidRPr="006843FE">
        <w:rPr>
          <w:lang w:val="ro-MD" w:eastAsia="ro-MD"/>
        </w:rPr>
        <w:t xml:space="preserve"> se consideră că există o legătură strânsă atunci când sunt îndeplinite cumulativ următoarele condiții:</w:t>
      </w:r>
    </w:p>
    <w:p w14:paraId="2D95FC9F" w14:textId="77777777" w:rsidR="006843FE" w:rsidRPr="006843FE" w:rsidRDefault="006843FE" w:rsidP="002B3326">
      <w:pPr>
        <w:jc w:val="both"/>
        <w:rPr>
          <w:lang w:val="ro-MD" w:eastAsia="ro-MD"/>
        </w:rPr>
      </w:pPr>
      <w:r w:rsidRPr="006843FE">
        <w:rPr>
          <w:lang w:val="ro-MD" w:eastAsia="ro-MD"/>
        </w:rPr>
        <w:t>1) orice modificare a valorii juste a obligațiunilor emise de bancă are drept rezultat, în orice moment, modificări echivalente ale valorii juste a activelor subiacente obligațiunilor.</w:t>
      </w:r>
    </w:p>
    <w:p w14:paraId="6E093D32" w14:textId="77777777" w:rsidR="006843FE" w:rsidRPr="006843FE" w:rsidRDefault="006843FE" w:rsidP="002B3326">
      <w:pPr>
        <w:jc w:val="both"/>
        <w:rPr>
          <w:lang w:val="ro-MD" w:eastAsia="ro-MD"/>
        </w:rPr>
      </w:pPr>
      <w:r w:rsidRPr="006843FE">
        <w:rPr>
          <w:lang w:val="ro-MD" w:eastAsia="ro-MD"/>
        </w:rPr>
        <w:t>2) creditele ipotecare subiacente obligațiunilor emise de bancă pentru a finanța creditele pot fi, în orice moment, rambursate prin răscumpărarea obligațiunilor la valoarea de piață sau la valoarea nominală;</w:t>
      </w:r>
    </w:p>
    <w:p w14:paraId="737D9468" w14:textId="77777777" w:rsidR="006843FE" w:rsidRDefault="006843FE" w:rsidP="002B3326">
      <w:pPr>
        <w:jc w:val="both"/>
        <w:rPr>
          <w:lang w:val="ro-MD" w:eastAsia="ro-MD"/>
        </w:rPr>
      </w:pPr>
      <w:r w:rsidRPr="006843FE">
        <w:rPr>
          <w:lang w:val="ro-MD" w:eastAsia="ro-MD"/>
        </w:rPr>
        <w:t>3) există un mecanism transparent pentru a determina valoarea justă a creditelor ipotecare și a obligațiunilor. Determinarea valorii creditelor ipotecare include calcularea valorii juste a opțiunii de livrare.</w:t>
      </w:r>
    </w:p>
    <w:p w14:paraId="0A32629A" w14:textId="77777777" w:rsidR="0032258E" w:rsidRDefault="006843FE" w:rsidP="002B3326">
      <w:pPr>
        <w:jc w:val="both"/>
        <w:rPr>
          <w:lang w:val="ro-MD" w:eastAsia="ro-MD"/>
        </w:rPr>
      </w:pPr>
      <w:r w:rsidRPr="006843FE">
        <w:rPr>
          <w:lang w:val="ro-MD" w:eastAsia="ro-MD"/>
        </w:rPr>
        <w:t>Nu se consideră că există o legătură strânsă în cazul în care, în conformitate cu subpunctele 1)-3), rezultă un profit net sau o pierdere netă din modificările valorii obligațiunilor sau ale creditelor ipotecare subiacente cu opțiunea de livrare încorporată.</w:t>
      </w:r>
    </w:p>
    <w:p w14:paraId="4A615E3D" w14:textId="7CCEC6A8" w:rsidR="00E72B0D" w:rsidRDefault="0032258E" w:rsidP="002B3326">
      <w:pPr>
        <w:jc w:val="both"/>
        <w:rPr>
          <w:lang w:val="ro-MD" w:eastAsia="ro-MD"/>
        </w:rPr>
      </w:pPr>
      <w:r w:rsidRPr="00264552">
        <w:rPr>
          <w:b/>
          <w:bCs/>
          <w:lang w:val="ro-RO" w:eastAsia="ro-MD"/>
        </w:rPr>
        <w:t>27</w:t>
      </w:r>
      <w:r w:rsidRPr="00264552">
        <w:rPr>
          <w:b/>
          <w:bCs/>
          <w:vertAlign w:val="superscript"/>
          <w:lang w:val="ro-RO" w:eastAsia="ro-MD"/>
        </w:rPr>
        <w:t>3</w:t>
      </w:r>
      <w:r w:rsidRPr="00264552">
        <w:rPr>
          <w:b/>
          <w:bCs/>
          <w:lang w:val="ro-RO" w:eastAsia="ro-MD"/>
        </w:rPr>
        <w:t>.</w:t>
      </w:r>
      <w:r w:rsidRPr="00264552">
        <w:rPr>
          <w:lang w:val="ro-RO" w:eastAsia="ro-MD"/>
        </w:rPr>
        <w:t xml:space="preserve"> În sensul punctului 27</w:t>
      </w:r>
      <w:r w:rsidRPr="00264552">
        <w:rPr>
          <w:vertAlign w:val="superscript"/>
          <w:lang w:val="ro-RO" w:eastAsia="ro-MD"/>
        </w:rPr>
        <w:t>2</w:t>
      </w:r>
      <w:r w:rsidRPr="00264552">
        <w:rPr>
          <w:lang w:val="ro-RO" w:eastAsia="ro-MD"/>
        </w:rPr>
        <w:t>, opțiunea de livrare reprezintă posibilitatea de a rambursa împrumutul ipotecar prin răscumpărarea obligațiunii garantate la valoarea de piață sau la valoarea nominală în conformitate cu punctul 27</w:t>
      </w:r>
      <w:r w:rsidRPr="00264552">
        <w:rPr>
          <w:vertAlign w:val="superscript"/>
          <w:lang w:val="ro-RO" w:eastAsia="ro-MD"/>
        </w:rPr>
        <w:t>1</w:t>
      </w:r>
      <w:r w:rsidRPr="00264552">
        <w:rPr>
          <w:lang w:val="ro-RO" w:eastAsia="ro-MD"/>
        </w:rPr>
        <w:t xml:space="preserve"> subpunctul 4).</w:t>
      </w:r>
      <w:r w:rsidR="006843FE">
        <w:rPr>
          <w:lang w:val="ro-MD" w:eastAsia="ro-MD"/>
        </w:rPr>
        <w:t>”.</w:t>
      </w:r>
    </w:p>
    <w:p w14:paraId="74778061" w14:textId="440EFE70" w:rsidR="00E72B0D" w:rsidRPr="00FF10CA" w:rsidRDefault="00E95446" w:rsidP="00E91829">
      <w:pPr>
        <w:pStyle w:val="ListParagraph"/>
        <w:numPr>
          <w:ilvl w:val="1"/>
          <w:numId w:val="27"/>
        </w:numPr>
        <w:spacing w:before="80"/>
        <w:ind w:left="0" w:firstLine="567"/>
        <w:contextualSpacing w:val="0"/>
        <w:jc w:val="both"/>
        <w:rPr>
          <w:lang w:val="ro-MD" w:eastAsia="ro-MD"/>
        </w:rPr>
      </w:pPr>
      <w:r w:rsidRPr="00FF10CA">
        <w:rPr>
          <w:lang w:val="ro-MD" w:eastAsia="ro-MD"/>
        </w:rPr>
        <w:t>La p</w:t>
      </w:r>
      <w:r w:rsidR="00B63FA9" w:rsidRPr="00FF10CA">
        <w:rPr>
          <w:lang w:val="ro-MD" w:eastAsia="ro-MD"/>
        </w:rPr>
        <w:t>unctul 30</w:t>
      </w:r>
      <w:r w:rsidR="00E72B0D" w:rsidRPr="00FF10CA">
        <w:rPr>
          <w:lang w:val="ro-MD" w:eastAsia="ro-MD"/>
        </w:rPr>
        <w:t>:</w:t>
      </w:r>
    </w:p>
    <w:p w14:paraId="501243D4" w14:textId="3983FDDF" w:rsidR="00E72B0D" w:rsidRDefault="00B63FA9" w:rsidP="00FF10CA">
      <w:pPr>
        <w:pStyle w:val="ListParagraph"/>
        <w:numPr>
          <w:ilvl w:val="2"/>
          <w:numId w:val="27"/>
        </w:numPr>
        <w:tabs>
          <w:tab w:val="left" w:pos="720"/>
        </w:tabs>
        <w:ind w:left="0" w:firstLine="568"/>
        <w:jc w:val="both"/>
        <w:rPr>
          <w:lang w:val="ro-MD" w:eastAsia="ro-MD"/>
        </w:rPr>
      </w:pPr>
      <w:r w:rsidRPr="00E72B0D">
        <w:rPr>
          <w:lang w:val="ro-MD" w:eastAsia="ro-MD"/>
        </w:rPr>
        <w:t>subpunctul 2) se completează cu textul „ ,</w:t>
      </w:r>
      <w:r w:rsidR="00E72B0D" w:rsidRPr="00E72B0D">
        <w:rPr>
          <w:lang w:val="ro-MD" w:eastAsia="ro-MD"/>
        </w:rPr>
        <w:t xml:space="preserve"> cu excepția programelor informatice evaluate în mod prudent a căror valoare nu este afectată în mod negativ de rezoluția, insolvabilitatea sau de lichidarea băncii”</w:t>
      </w:r>
      <w:r w:rsidR="00E72B0D">
        <w:rPr>
          <w:lang w:val="ro-MD" w:eastAsia="ro-MD"/>
        </w:rPr>
        <w:t>;</w:t>
      </w:r>
    </w:p>
    <w:p w14:paraId="51964E2D" w14:textId="77777777" w:rsidR="00E95446" w:rsidRDefault="00E72B0D" w:rsidP="00FF10CA">
      <w:pPr>
        <w:pStyle w:val="ListParagraph"/>
        <w:numPr>
          <w:ilvl w:val="2"/>
          <w:numId w:val="27"/>
        </w:numPr>
        <w:tabs>
          <w:tab w:val="left" w:pos="720"/>
        </w:tabs>
        <w:ind w:left="0" w:firstLine="568"/>
        <w:jc w:val="both"/>
        <w:rPr>
          <w:lang w:val="ro-MD" w:eastAsia="ro-MD"/>
        </w:rPr>
      </w:pPr>
      <w:r>
        <w:rPr>
          <w:lang w:val="ro-MD" w:eastAsia="ro-MD"/>
        </w:rPr>
        <w:t xml:space="preserve">se completează cu subpunctul </w:t>
      </w:r>
      <w:r w:rsidRPr="00E72B0D">
        <w:rPr>
          <w:lang w:val="ro-MD" w:eastAsia="ro-MD"/>
        </w:rPr>
        <w:t>3</w:t>
      </w:r>
      <w:r w:rsidRPr="00E72B0D">
        <w:rPr>
          <w:vertAlign w:val="superscript"/>
          <w:lang w:val="ro-MD" w:eastAsia="ro-MD"/>
        </w:rPr>
        <w:t>1</w:t>
      </w:r>
      <w:r w:rsidRPr="00E72B0D">
        <w:rPr>
          <w:lang w:val="ro-MD" w:eastAsia="ro-MD"/>
        </w:rPr>
        <w:t xml:space="preserve">) </w:t>
      </w:r>
      <w:r>
        <w:rPr>
          <w:lang w:val="ro-MD" w:eastAsia="ro-MD"/>
        </w:rPr>
        <w:t>cu următorul cuprins</w:t>
      </w:r>
      <w:r w:rsidR="00E95446">
        <w:rPr>
          <w:lang w:val="ro-MD" w:eastAsia="ro-MD"/>
        </w:rPr>
        <w:t>:</w:t>
      </w:r>
    </w:p>
    <w:p w14:paraId="0BEA6330" w14:textId="3695429C" w:rsidR="00E72B0D" w:rsidRPr="00E95446" w:rsidRDefault="00E72B0D" w:rsidP="00E95446">
      <w:pPr>
        <w:tabs>
          <w:tab w:val="left" w:pos="720"/>
        </w:tabs>
        <w:jc w:val="both"/>
        <w:rPr>
          <w:lang w:val="ro-MD" w:eastAsia="ro-MD"/>
        </w:rPr>
      </w:pPr>
      <w:r w:rsidRPr="00E95446">
        <w:rPr>
          <w:lang w:val="ro-MD" w:eastAsia="ro-MD"/>
        </w:rPr>
        <w:t>„3</w:t>
      </w:r>
      <w:r w:rsidRPr="00E95446">
        <w:rPr>
          <w:vertAlign w:val="superscript"/>
          <w:lang w:val="ro-MD" w:eastAsia="ro-MD"/>
        </w:rPr>
        <w:t>1</w:t>
      </w:r>
      <w:r w:rsidRPr="00E95446">
        <w:rPr>
          <w:lang w:val="ro-MD" w:eastAsia="ro-MD"/>
        </w:rPr>
        <w:t>) pentru băncile care calculează cuantumurile ponderate la risc ale expunerilor utilizând abordarea bazată pe modele interne de rating (abordarea IRB), deficitul conform IRB, acolo unde este cazul, calculat în conformitate cu actul normativ al Băncii Naționale a Moldovei aferent tratamentul riscului de credit potrivit abordării IRB;</w:t>
      </w:r>
      <w:r w:rsidR="00E95446">
        <w:rPr>
          <w:lang w:val="ro-MD" w:eastAsia="ro-MD"/>
        </w:rPr>
        <w:t>”;</w:t>
      </w:r>
    </w:p>
    <w:p w14:paraId="169D5C72" w14:textId="24E1700D" w:rsidR="00E72B0D" w:rsidRDefault="00E72B0D" w:rsidP="00FF10CA">
      <w:pPr>
        <w:pStyle w:val="ListParagraph"/>
        <w:numPr>
          <w:ilvl w:val="2"/>
          <w:numId w:val="27"/>
        </w:numPr>
        <w:tabs>
          <w:tab w:val="left" w:pos="720"/>
        </w:tabs>
        <w:ind w:left="0" w:firstLine="568"/>
        <w:jc w:val="both"/>
        <w:rPr>
          <w:lang w:val="ro-MD" w:eastAsia="ro-MD"/>
        </w:rPr>
      </w:pPr>
      <w:r>
        <w:rPr>
          <w:lang w:val="ro-MD" w:eastAsia="ro-MD"/>
        </w:rPr>
        <w:t>subpunctul 6)</w:t>
      </w:r>
      <w:r w:rsidR="00780F8F">
        <w:rPr>
          <w:lang w:val="ro-MD" w:eastAsia="ro-MD"/>
        </w:rPr>
        <w:t>,</w:t>
      </w:r>
      <w:r>
        <w:rPr>
          <w:lang w:val="ro-MD" w:eastAsia="ro-MD"/>
        </w:rPr>
        <w:t xml:space="preserve"> </w:t>
      </w:r>
      <w:r w:rsidR="002C6128">
        <w:rPr>
          <w:lang w:val="ro-MD" w:eastAsia="ro-MD"/>
        </w:rPr>
        <w:t xml:space="preserve">după </w:t>
      </w:r>
      <w:r>
        <w:rPr>
          <w:lang w:val="ro-MD" w:eastAsia="ro-MD"/>
        </w:rPr>
        <w:t>textul „din sectorul financiar</w:t>
      </w:r>
      <w:r w:rsidR="002C6128">
        <w:rPr>
          <w:lang w:val="ro-MD" w:eastAsia="ro-MD"/>
        </w:rPr>
        <w:t>,</w:t>
      </w:r>
      <w:r>
        <w:rPr>
          <w:lang w:val="ro-MD" w:eastAsia="ro-MD"/>
        </w:rPr>
        <w:t>” se completează cu textul „</w:t>
      </w:r>
      <w:r w:rsidRPr="00E72B0D">
        <w:rPr>
          <w:lang w:val="ro-MD" w:eastAsia="ro-MD"/>
        </w:rPr>
        <w:t>dacă aceste entități și banca înregistrează dețineri reciproce,</w:t>
      </w:r>
      <w:r>
        <w:rPr>
          <w:lang w:val="ro-MD" w:eastAsia="ro-MD"/>
        </w:rPr>
        <w:t>”;</w:t>
      </w:r>
    </w:p>
    <w:p w14:paraId="04074894" w14:textId="08798E9D" w:rsidR="00C33C72" w:rsidRDefault="002C6128" w:rsidP="00FF10CA">
      <w:pPr>
        <w:pStyle w:val="ListParagraph"/>
        <w:numPr>
          <w:ilvl w:val="2"/>
          <w:numId w:val="27"/>
        </w:numPr>
        <w:tabs>
          <w:tab w:val="left" w:pos="720"/>
        </w:tabs>
        <w:ind w:left="0" w:firstLine="568"/>
        <w:jc w:val="both"/>
        <w:rPr>
          <w:lang w:val="ro-MD" w:eastAsia="ro-MD"/>
        </w:rPr>
      </w:pPr>
      <w:r>
        <w:rPr>
          <w:lang w:val="ro-MD" w:eastAsia="ro-MD"/>
        </w:rPr>
        <w:t>la subpunctul 9)</w:t>
      </w:r>
      <w:r w:rsidR="00780F8F">
        <w:rPr>
          <w:lang w:val="ro-MD" w:eastAsia="ro-MD"/>
        </w:rPr>
        <w:t>,</w:t>
      </w:r>
      <w:r>
        <w:rPr>
          <w:lang w:val="ro-MD" w:eastAsia="ro-MD"/>
        </w:rPr>
        <w:t xml:space="preserve"> </w:t>
      </w:r>
      <w:r w:rsidR="00C33C72">
        <w:rPr>
          <w:lang w:val="ro-MD" w:eastAsia="ro-MD"/>
        </w:rPr>
        <w:t>cuvântul „</w:t>
      </w:r>
      <w:r w:rsidR="00C33C72" w:rsidRPr="002C6128">
        <w:rPr>
          <w:lang w:val="ro-MD" w:eastAsia="ro-MD"/>
        </w:rPr>
        <w:t>fondurile”</w:t>
      </w:r>
      <w:r w:rsidR="00C33C72">
        <w:rPr>
          <w:lang w:val="ro-MD" w:eastAsia="ro-MD"/>
        </w:rPr>
        <w:t xml:space="preserve"> se substituie cu cuvintele „</w:t>
      </w:r>
      <w:r w:rsidR="00C33C72" w:rsidRPr="00C33C72">
        <w:rPr>
          <w:lang w:val="ro-MD" w:eastAsia="ro-MD"/>
        </w:rPr>
        <w:t>elementele de fonduri</w:t>
      </w:r>
      <w:r w:rsidR="00C33C72">
        <w:rPr>
          <w:lang w:val="ro-MD" w:eastAsia="ro-MD"/>
        </w:rPr>
        <w:t>”;</w:t>
      </w:r>
    </w:p>
    <w:p w14:paraId="2D0E4473" w14:textId="77777777" w:rsidR="00E95446" w:rsidRDefault="00C33C72" w:rsidP="00FF10CA">
      <w:pPr>
        <w:pStyle w:val="ListParagraph"/>
        <w:numPr>
          <w:ilvl w:val="2"/>
          <w:numId w:val="27"/>
        </w:numPr>
        <w:tabs>
          <w:tab w:val="left" w:pos="720"/>
        </w:tabs>
        <w:ind w:left="0" w:firstLine="568"/>
        <w:jc w:val="both"/>
        <w:rPr>
          <w:lang w:val="ro-MD" w:eastAsia="ro-MD"/>
        </w:rPr>
      </w:pPr>
      <w:r w:rsidRPr="00C33C72">
        <w:rPr>
          <w:lang w:val="ro-MD" w:eastAsia="ro-MD"/>
        </w:rPr>
        <w:t xml:space="preserve">subpunctul 10) </w:t>
      </w:r>
      <w:r w:rsidR="00E95446">
        <w:rPr>
          <w:lang w:val="ro-MD" w:eastAsia="ro-MD"/>
        </w:rPr>
        <w:t>va avea următorul cuprins:</w:t>
      </w:r>
    </w:p>
    <w:p w14:paraId="7BAE5556" w14:textId="2E30D916" w:rsidR="00C33C72" w:rsidRPr="00E95446" w:rsidRDefault="00E95446" w:rsidP="00E95446">
      <w:pPr>
        <w:tabs>
          <w:tab w:val="left" w:pos="720"/>
        </w:tabs>
        <w:jc w:val="both"/>
        <w:rPr>
          <w:lang w:val="ro-MD" w:eastAsia="ro-MD"/>
        </w:rPr>
      </w:pPr>
      <w:r>
        <w:rPr>
          <w:lang w:val="ro-MD" w:eastAsia="ro-MD"/>
        </w:rPr>
        <w:t>„</w:t>
      </w:r>
      <w:r w:rsidR="00C33C72" w:rsidRPr="00E95446">
        <w:rPr>
          <w:lang w:val="ro-MD" w:eastAsia="ro-MD"/>
        </w:rPr>
        <w:t>10) cuantumul expunerii aferent următoarelor elemente care</w:t>
      </w:r>
      <w:r w:rsidR="002C6128" w:rsidRPr="00E95446">
        <w:rPr>
          <w:lang w:val="ro-MD" w:eastAsia="ro-MD"/>
        </w:rPr>
        <w:t xml:space="preserve"> </w:t>
      </w:r>
      <w:r w:rsidR="00C33C72" w:rsidRPr="00E95446">
        <w:rPr>
          <w:lang w:val="ro-MD" w:eastAsia="ro-MD"/>
        </w:rPr>
        <w:t>se califică pentru o pondere de risc de 1000%, atunci când banca deduce cuantumul expunerii respective din cuantumul elementelor de fonduri proprii de nivel 1 de bază ca alternativă la aplicarea unei ponderi de risc de 1000%:</w:t>
      </w:r>
    </w:p>
    <w:p w14:paraId="6A0CCA49" w14:textId="5CDF02C4" w:rsidR="00C33C72" w:rsidRPr="00C33C72" w:rsidRDefault="00C33C72" w:rsidP="00E95446">
      <w:pPr>
        <w:ind w:firstLine="568"/>
        <w:jc w:val="both"/>
        <w:rPr>
          <w:lang w:val="ro-MD" w:eastAsia="ro-MD"/>
        </w:rPr>
      </w:pPr>
      <w:r w:rsidRPr="00C33C72">
        <w:rPr>
          <w:lang w:val="ro-MD" w:eastAsia="ro-MD"/>
        </w:rPr>
        <w:t>a) dețineri calificate din afara sectorului financiar;</w:t>
      </w:r>
    </w:p>
    <w:p w14:paraId="07B95114" w14:textId="686117B2" w:rsidR="00C33C72" w:rsidRPr="00C33C72" w:rsidRDefault="00C33C72" w:rsidP="00E95446">
      <w:pPr>
        <w:ind w:firstLine="568"/>
        <w:jc w:val="both"/>
        <w:rPr>
          <w:lang w:val="ro-MD" w:eastAsia="ro-MD"/>
        </w:rPr>
      </w:pPr>
      <w:r w:rsidRPr="00C33C72">
        <w:rPr>
          <w:lang w:val="ro-MD" w:eastAsia="ro-MD"/>
        </w:rPr>
        <w:lastRenderedPageBreak/>
        <w:t xml:space="preserve">b) poziții din securitizare, în conformitate cu </w:t>
      </w:r>
      <w:bookmarkStart w:id="5" w:name="_Hlk217295377"/>
      <w:r w:rsidR="00AC35BB" w:rsidRPr="00AC35BB">
        <w:rPr>
          <w:lang w:val="ro-MD" w:eastAsia="ro-MD"/>
        </w:rPr>
        <w:t>Regulamentul privind tratamentul prudențial al securitizărilor, aprobat prin Hotărârea Comitetului executiv al Băncii Naționale a Moldovei nr. 221/2025</w:t>
      </w:r>
      <w:bookmarkEnd w:id="5"/>
      <w:r w:rsidRPr="00C33C72">
        <w:rPr>
          <w:lang w:val="ro-MD" w:eastAsia="ro-MD"/>
        </w:rPr>
        <w:t>;</w:t>
      </w:r>
    </w:p>
    <w:p w14:paraId="6B6817B9" w14:textId="294AF850" w:rsidR="00C33C72" w:rsidRPr="00C33C72" w:rsidRDefault="00C33C72" w:rsidP="00E95446">
      <w:pPr>
        <w:ind w:firstLine="568"/>
        <w:jc w:val="both"/>
        <w:rPr>
          <w:lang w:val="ro-MD" w:eastAsia="ro-MD"/>
        </w:rPr>
      </w:pPr>
      <w:r w:rsidRPr="00C33C72">
        <w:rPr>
          <w:lang w:val="ro-MD" w:eastAsia="ro-MD"/>
        </w:rPr>
        <w:t>c) tranzacțiilor incomplete, în conformitate cu Regulamentul cu privire la tratamentul riscului de decontare/livrare pentru bănci, aprobat prin Hotărârea Comitetului executiv al Băncii Naționale a Moldovei nr.115/2018</w:t>
      </w:r>
      <w:r w:rsidR="00A96C10">
        <w:rPr>
          <w:lang w:val="ro-MD" w:eastAsia="ro-MD"/>
        </w:rPr>
        <w:t xml:space="preserve"> </w:t>
      </w:r>
      <w:r w:rsidR="00A96C10" w:rsidRPr="00A96C10">
        <w:rPr>
          <w:lang w:val="ro-RO" w:eastAsia="ro-MD"/>
        </w:rPr>
        <w:t>(în continuare - Regulamentul</w:t>
      </w:r>
      <w:r w:rsidR="00A96C10" w:rsidRPr="001835DA">
        <w:rPr>
          <w:lang w:eastAsia="ro-MD"/>
        </w:rPr>
        <w:t xml:space="preserve"> nr.115/2018)</w:t>
      </w:r>
      <w:r w:rsidRPr="00C33C72">
        <w:rPr>
          <w:lang w:val="ro-MD" w:eastAsia="ro-MD"/>
        </w:rPr>
        <w:t>;</w:t>
      </w:r>
    </w:p>
    <w:p w14:paraId="1362FB89" w14:textId="6FD6F760" w:rsidR="00C33C72" w:rsidRPr="00C33C72" w:rsidRDefault="00C33C72" w:rsidP="00E95446">
      <w:pPr>
        <w:ind w:firstLine="568"/>
        <w:jc w:val="both"/>
        <w:rPr>
          <w:lang w:val="ro-MD" w:eastAsia="ro-MD"/>
        </w:rPr>
      </w:pPr>
      <w:r w:rsidRPr="00C33C72">
        <w:rPr>
          <w:lang w:val="ro-MD" w:eastAsia="ro-MD"/>
        </w:rPr>
        <w:t>d) poziții dintr-un coș de expuneri pentru care banca nu poate determina ponderea de risc aplicând abordarea IRB, în conformitate actul normativ al Băncii Naționale a Moldovei aferent tratamentul riscului de credit potrivit abordării IRB;</w:t>
      </w:r>
    </w:p>
    <w:p w14:paraId="257BB7A2" w14:textId="60B27DBF" w:rsidR="00C33C72" w:rsidRDefault="00C33C72" w:rsidP="00E95446">
      <w:pPr>
        <w:tabs>
          <w:tab w:val="left" w:pos="720"/>
        </w:tabs>
        <w:ind w:firstLine="568"/>
        <w:jc w:val="both"/>
        <w:rPr>
          <w:lang w:val="ro-MD" w:eastAsia="ro-MD"/>
        </w:rPr>
      </w:pPr>
      <w:r w:rsidRPr="00C33C72">
        <w:rPr>
          <w:lang w:val="ro-MD" w:eastAsia="ro-MD"/>
        </w:rPr>
        <w:t xml:space="preserve">e) expuneri sub formă de unități sau acțiuni deținute într-un </w:t>
      </w:r>
      <w:r w:rsidR="00E64FA0">
        <w:rPr>
          <w:lang w:val="ro-MD" w:eastAsia="ro-MD"/>
        </w:rPr>
        <w:t>organism de plasament colectiv (</w:t>
      </w:r>
      <w:r w:rsidRPr="00C33C72">
        <w:rPr>
          <w:lang w:val="ro-MD" w:eastAsia="ro-MD"/>
        </w:rPr>
        <w:t>OPC</w:t>
      </w:r>
      <w:r w:rsidR="00E64FA0">
        <w:rPr>
          <w:lang w:val="ro-MD" w:eastAsia="ro-MD"/>
        </w:rPr>
        <w:t>)</w:t>
      </w:r>
      <w:r w:rsidRPr="00C33C72">
        <w:rPr>
          <w:lang w:val="ro-MD" w:eastAsia="ro-MD"/>
        </w:rPr>
        <w:t xml:space="preserve"> cărora li se atribuie o pondere de risc de 1000% în conformitate cu Regulamentul nr. 111/2018.</w:t>
      </w:r>
      <w:r>
        <w:rPr>
          <w:lang w:val="ro-MD" w:eastAsia="ro-MD"/>
        </w:rPr>
        <w:t>”;</w:t>
      </w:r>
    </w:p>
    <w:p w14:paraId="6AAA030A" w14:textId="7E20859E" w:rsidR="004E3407" w:rsidRPr="00E95446" w:rsidRDefault="00C33C72" w:rsidP="00FF10CA">
      <w:pPr>
        <w:pStyle w:val="ListParagraph"/>
        <w:numPr>
          <w:ilvl w:val="2"/>
          <w:numId w:val="27"/>
        </w:numPr>
        <w:ind w:left="0" w:firstLine="567"/>
        <w:jc w:val="both"/>
        <w:rPr>
          <w:lang w:val="ro-MD" w:eastAsia="ro-MD"/>
        </w:rPr>
      </w:pPr>
      <w:r w:rsidRPr="00E95446">
        <w:rPr>
          <w:lang w:val="ro-MD" w:eastAsia="ro-MD"/>
        </w:rPr>
        <w:t>se completează cu subpunctele 12) și 13) cu următorul cuprins</w:t>
      </w:r>
      <w:r w:rsidR="004E3407" w:rsidRPr="00E95446">
        <w:rPr>
          <w:lang w:val="ro-MD" w:eastAsia="ro-MD"/>
        </w:rPr>
        <w:t>:</w:t>
      </w:r>
    </w:p>
    <w:p w14:paraId="407062FF" w14:textId="02E6B958" w:rsidR="004E3407" w:rsidRPr="004E3407" w:rsidRDefault="00C33C72" w:rsidP="004E3407">
      <w:pPr>
        <w:jc w:val="both"/>
        <w:rPr>
          <w:sz w:val="18"/>
          <w:szCs w:val="18"/>
          <w:highlight w:val="lightGray"/>
          <w:lang w:val="ro-MD" w:eastAsia="ro-MD"/>
        </w:rPr>
      </w:pPr>
      <w:r>
        <w:rPr>
          <w:lang w:val="ro-MD" w:eastAsia="ro-MD"/>
        </w:rPr>
        <w:t>„</w:t>
      </w:r>
      <w:r w:rsidR="004E3407" w:rsidRPr="004E3407">
        <w:rPr>
          <w:lang w:val="ro-MD" w:eastAsia="ro-MD"/>
        </w:rPr>
        <w:t>12) cuantumul aplicabil al acoperirii insuficiente pentru expunerile neperformante;</w:t>
      </w:r>
    </w:p>
    <w:p w14:paraId="44AC5E74" w14:textId="7E2C630A" w:rsidR="00B63FA9" w:rsidRDefault="004E3407" w:rsidP="004E3407">
      <w:pPr>
        <w:jc w:val="both"/>
        <w:rPr>
          <w:sz w:val="18"/>
          <w:szCs w:val="18"/>
          <w:lang w:val="ro-MD" w:eastAsia="ro-MD"/>
        </w:rPr>
      </w:pPr>
      <w:r w:rsidRPr="004E3407">
        <w:rPr>
          <w:lang w:val="ro-MD" w:eastAsia="ro-MD"/>
        </w:rPr>
        <w:t>13) pentru un angajament de valoare minimă, menționat în Regulamentul nr.111/2018</w:t>
      </w:r>
      <w:r w:rsidRPr="004E3407">
        <w:rPr>
          <w:sz w:val="18"/>
          <w:szCs w:val="18"/>
          <w:lang w:val="ro-MD" w:eastAsia="ro-MD"/>
        </w:rPr>
        <w:t>,</w:t>
      </w:r>
      <w:r w:rsidRPr="004E3407">
        <w:rPr>
          <w:lang w:val="ro-MD" w:eastAsia="ro-MD"/>
        </w:rPr>
        <w:t xml:space="preserve"> orice cuantum cu care valoarea de piață curentă a unităților sau acțiunilor deținute în OPC-uri care constituie suportul angajamentului de valoare minimă este inferioară valorii actuale a angajamentului de valoare minimă și pentru care banca nu a recunoscut deja o reducere a elementelor de fonduri proprii de nivel 1 de bază.</w:t>
      </w:r>
      <w:r>
        <w:rPr>
          <w:sz w:val="18"/>
          <w:szCs w:val="18"/>
          <w:lang w:val="ro-MD" w:eastAsia="ro-MD"/>
        </w:rPr>
        <w:t>”.</w:t>
      </w:r>
    </w:p>
    <w:p w14:paraId="47BA92D2" w14:textId="402804CC" w:rsidR="004E3407" w:rsidRPr="00E95446" w:rsidRDefault="004E3407" w:rsidP="00E91829">
      <w:pPr>
        <w:pStyle w:val="ListParagraph"/>
        <w:numPr>
          <w:ilvl w:val="1"/>
          <w:numId w:val="27"/>
        </w:numPr>
        <w:spacing w:before="80"/>
        <w:ind w:left="788" w:hanging="431"/>
        <w:contextualSpacing w:val="0"/>
        <w:jc w:val="both"/>
        <w:rPr>
          <w:lang w:val="ro-MD" w:eastAsia="ro-MD"/>
        </w:rPr>
      </w:pPr>
      <w:r w:rsidRPr="00E95446">
        <w:rPr>
          <w:lang w:val="ro-MD" w:eastAsia="ro-MD"/>
        </w:rPr>
        <w:t>Se completează cu punctul 31</w:t>
      </w:r>
      <w:r w:rsidRPr="00E95446">
        <w:rPr>
          <w:vertAlign w:val="superscript"/>
          <w:lang w:val="ro-MD" w:eastAsia="ro-MD"/>
        </w:rPr>
        <w:t xml:space="preserve">1 </w:t>
      </w:r>
      <w:r w:rsidRPr="00E95446">
        <w:rPr>
          <w:lang w:val="ro-MD" w:eastAsia="ro-MD"/>
        </w:rPr>
        <w:t>cu următorul cuprins:</w:t>
      </w:r>
    </w:p>
    <w:p w14:paraId="4E11D795" w14:textId="00F41247" w:rsidR="004E3407" w:rsidRDefault="004E3407" w:rsidP="004E3407">
      <w:pPr>
        <w:jc w:val="both"/>
        <w:rPr>
          <w:lang w:val="ro-MD" w:eastAsia="ro-MD"/>
        </w:rPr>
      </w:pPr>
      <w:r w:rsidRPr="004E3407">
        <w:rPr>
          <w:lang w:val="ro-MD" w:eastAsia="ro-MD"/>
        </w:rPr>
        <w:t>„</w:t>
      </w:r>
      <w:bookmarkStart w:id="6" w:name="_Hlk196774129"/>
      <w:r w:rsidRPr="004E3407">
        <w:rPr>
          <w:b/>
          <w:bCs/>
          <w:lang w:val="ro-MD" w:eastAsia="ro-MD"/>
        </w:rPr>
        <w:t>31</w:t>
      </w:r>
      <w:r w:rsidRPr="004E3407">
        <w:rPr>
          <w:b/>
          <w:bCs/>
          <w:vertAlign w:val="superscript"/>
          <w:lang w:val="ro-MD" w:eastAsia="ro-MD"/>
        </w:rPr>
        <w:t>1</w:t>
      </w:r>
      <w:r w:rsidRPr="004E3407">
        <w:rPr>
          <w:lang w:val="ro-MD" w:eastAsia="ro-MD"/>
        </w:rPr>
        <w:t>. În sensul punctului 30, subpunctul 12), prin derogare de la punctele 67</w:t>
      </w:r>
      <w:r w:rsidRPr="004E3407">
        <w:rPr>
          <w:vertAlign w:val="superscript"/>
          <w:lang w:val="ro-MD" w:eastAsia="ro-MD"/>
        </w:rPr>
        <w:t>17</w:t>
      </w:r>
      <w:r w:rsidRPr="004E3407">
        <w:rPr>
          <w:lang w:val="ro-MD" w:eastAsia="ro-MD"/>
        </w:rPr>
        <w:t>-67</w:t>
      </w:r>
      <w:r w:rsidRPr="004E3407">
        <w:rPr>
          <w:vertAlign w:val="superscript"/>
          <w:lang w:val="ro-MD" w:eastAsia="ro-MD"/>
        </w:rPr>
        <w:t>26</w:t>
      </w:r>
      <w:r w:rsidRPr="004E3407">
        <w:rPr>
          <w:lang w:val="ro-MD" w:eastAsia="ro-MD"/>
        </w:rPr>
        <w:t>, după notificarea, în scris, a Băncii Naționale a Moldovei, cuantumul aplicabil al acoperirii insuficiente pentru expunerile</w:t>
      </w:r>
      <w:r w:rsidR="00470862">
        <w:rPr>
          <w:lang w:val="ro-MD" w:eastAsia="ro-MD"/>
        </w:rPr>
        <w:t xml:space="preserve"> neperformante</w:t>
      </w:r>
      <w:r w:rsidRPr="004E3407">
        <w:rPr>
          <w:lang w:val="ro-MD" w:eastAsia="ro-MD"/>
        </w:rPr>
        <w:t xml:space="preserve"> </w:t>
      </w:r>
      <w:r w:rsidR="00C623DB" w:rsidRPr="004E3407">
        <w:rPr>
          <w:lang w:val="ro-MD" w:eastAsia="ro-MD"/>
        </w:rPr>
        <w:t xml:space="preserve"> </w:t>
      </w:r>
      <w:r w:rsidRPr="004E3407">
        <w:rPr>
          <w:lang w:val="ro-MD" w:eastAsia="ro-MD"/>
        </w:rPr>
        <w:t>achiziționate de o entitate specializată de restructurarea datoriei este zero. Derogarea prevăzută în prezentul punct se aplică pe bază individuală și, în cazul grupurilor în care toate băncile se califică drept entități specializate de restructurare a datoriei, pe bază consolidată.</w:t>
      </w:r>
      <w:bookmarkEnd w:id="6"/>
      <w:r>
        <w:rPr>
          <w:lang w:val="ro-MD" w:eastAsia="ro-MD"/>
        </w:rPr>
        <w:t>”.</w:t>
      </w:r>
    </w:p>
    <w:p w14:paraId="7B3E752F" w14:textId="0C606983" w:rsidR="00082693" w:rsidRDefault="00082693" w:rsidP="00082693">
      <w:pPr>
        <w:pStyle w:val="ListParagraph"/>
        <w:numPr>
          <w:ilvl w:val="1"/>
          <w:numId w:val="27"/>
        </w:numPr>
        <w:ind w:left="0" w:firstLine="567"/>
        <w:jc w:val="both"/>
        <w:rPr>
          <w:lang w:val="ro-MD" w:eastAsia="ro-MD"/>
        </w:rPr>
      </w:pPr>
      <w:r>
        <w:rPr>
          <w:lang w:val="ro-MD" w:eastAsia="ro-MD"/>
        </w:rPr>
        <w:t>Se completează cu punctul 37</w:t>
      </w:r>
      <w:r w:rsidRPr="00082693">
        <w:rPr>
          <w:vertAlign w:val="superscript"/>
          <w:lang w:val="ro-MD" w:eastAsia="ro-MD"/>
        </w:rPr>
        <w:t>1</w:t>
      </w:r>
      <w:r>
        <w:rPr>
          <w:lang w:val="ro-MD" w:eastAsia="ro-MD"/>
        </w:rPr>
        <w:t xml:space="preserve"> cu următorul cuprins:</w:t>
      </w:r>
    </w:p>
    <w:p w14:paraId="35B30994" w14:textId="6B443318" w:rsidR="00082693" w:rsidRPr="00082693" w:rsidRDefault="00082693" w:rsidP="00082693">
      <w:pPr>
        <w:jc w:val="both"/>
        <w:rPr>
          <w:lang w:val="ro-MD" w:eastAsia="ro-MD"/>
        </w:rPr>
      </w:pPr>
      <w:r>
        <w:rPr>
          <w:lang w:val="ro-MD" w:eastAsia="ro-MD"/>
        </w:rPr>
        <w:t>„</w:t>
      </w:r>
      <w:r w:rsidRPr="00082693">
        <w:rPr>
          <w:b/>
          <w:bCs/>
          <w:lang w:val="ro-MD" w:eastAsia="ro-MD"/>
        </w:rPr>
        <w:t>37</w:t>
      </w:r>
      <w:r w:rsidRPr="00082693">
        <w:rPr>
          <w:b/>
          <w:bCs/>
          <w:vertAlign w:val="superscript"/>
          <w:lang w:val="ro-MD" w:eastAsia="ro-MD"/>
        </w:rPr>
        <w:t>1</w:t>
      </w:r>
      <w:r w:rsidRPr="00082693">
        <w:rPr>
          <w:b/>
          <w:bCs/>
          <w:lang w:val="ro-MD" w:eastAsia="ro-MD"/>
        </w:rPr>
        <w:t>.</w:t>
      </w:r>
      <w:r w:rsidRPr="00082693">
        <w:rPr>
          <w:lang w:val="ro-MD" w:eastAsia="ro-MD"/>
        </w:rPr>
        <w:t xml:space="preserve"> În sensul punctului 30, subpunctul 2), programele informatice evaluate în mod prudent a căror valoare nu este afectată în mod negativ de rezoluția, insolvabilitatea sau de lichidarea băncii, se determină aplicând tratamentul prudențial bazat pe amortizarea în scopuri prudențiale, determinată în conformitate cu anexa nr.4</w:t>
      </w:r>
      <w:r w:rsidRPr="00082693">
        <w:rPr>
          <w:vertAlign w:val="superscript"/>
          <w:lang w:val="ro-MD" w:eastAsia="ro-MD"/>
        </w:rPr>
        <w:t>1</w:t>
      </w:r>
      <w:r w:rsidRPr="00082693">
        <w:rPr>
          <w:lang w:val="ro-MD" w:eastAsia="ro-MD"/>
        </w:rPr>
        <w:t>.</w:t>
      </w:r>
      <w:r>
        <w:rPr>
          <w:lang w:val="ro-MD" w:eastAsia="ro-MD"/>
        </w:rPr>
        <w:t>”.</w:t>
      </w:r>
    </w:p>
    <w:p w14:paraId="392FF172" w14:textId="04302981" w:rsidR="00C34C56" w:rsidRPr="00C34C56" w:rsidRDefault="004449F6" w:rsidP="00E91829">
      <w:pPr>
        <w:pStyle w:val="ListParagraph"/>
        <w:numPr>
          <w:ilvl w:val="1"/>
          <w:numId w:val="27"/>
        </w:numPr>
        <w:spacing w:before="80"/>
        <w:ind w:left="0" w:firstLine="567"/>
        <w:contextualSpacing w:val="0"/>
        <w:jc w:val="both"/>
        <w:rPr>
          <w:b/>
          <w:bCs/>
          <w:lang w:val="ro-MD" w:eastAsia="ro-MD"/>
        </w:rPr>
      </w:pPr>
      <w:r>
        <w:rPr>
          <w:lang w:val="ro-MD" w:eastAsia="ro-MD"/>
        </w:rPr>
        <w:t xml:space="preserve">La punctul </w:t>
      </w:r>
      <w:r w:rsidR="004E3407">
        <w:rPr>
          <w:lang w:val="ro-MD" w:eastAsia="ro-MD"/>
        </w:rPr>
        <w:t>46</w:t>
      </w:r>
      <w:r w:rsidR="00800652">
        <w:rPr>
          <w:lang w:val="ro-MD" w:eastAsia="ro-MD"/>
        </w:rPr>
        <w:t>,</w:t>
      </w:r>
      <w:r w:rsidR="004E3407">
        <w:rPr>
          <w:lang w:val="ro-MD" w:eastAsia="ro-MD"/>
        </w:rPr>
        <w:t xml:space="preserve"> textul „</w:t>
      </w:r>
      <w:r w:rsidR="000B40A9" w:rsidRPr="000B40A9">
        <w:rPr>
          <w:lang w:val="ro-MD" w:eastAsia="ro-MD"/>
        </w:rPr>
        <w:t xml:space="preserve">Regulamentului cu privire la tratamentul riscului de credit pentru bănci potrivit abordării standardizate, aprobat prin Hotărârea Comitetului executiv al Băncii Naționale a Moldovei nr.111 din 24 mai 2018 </w:t>
      </w:r>
      <w:r w:rsidR="004E3407" w:rsidRPr="004E3407">
        <w:rPr>
          <w:lang w:val="ro-MD" w:eastAsia="ro-MD"/>
        </w:rPr>
        <w:t>(în continuare – Regulamentul nr.111/2018)</w:t>
      </w:r>
      <w:r w:rsidR="004E3407">
        <w:rPr>
          <w:lang w:val="ro-MD" w:eastAsia="ro-MD"/>
        </w:rPr>
        <w:t xml:space="preserve">” se </w:t>
      </w:r>
      <w:r w:rsidR="000B40A9">
        <w:rPr>
          <w:lang w:val="ro-MD" w:eastAsia="ro-MD"/>
        </w:rPr>
        <w:t xml:space="preserve">substituie </w:t>
      </w:r>
      <w:r w:rsidR="004E3407">
        <w:rPr>
          <w:lang w:val="ro-MD" w:eastAsia="ro-MD"/>
        </w:rPr>
        <w:t>cu textul „</w:t>
      </w:r>
      <w:r w:rsidR="000B40A9" w:rsidRPr="000B40A9">
        <w:rPr>
          <w:lang w:val="ro-MD" w:eastAsia="ro-MD"/>
        </w:rPr>
        <w:t>Regulamentului nr.111/2018</w:t>
      </w:r>
      <w:r w:rsidR="004E3407" w:rsidRPr="004E3407">
        <w:rPr>
          <w:lang w:val="ro-MD" w:eastAsia="ro-MD"/>
        </w:rPr>
        <w:t xml:space="preserve"> sau în conformitate cu actele normative ale Băncii Naționale a Moldovei aferente tratamentului riscului de credit pentru bănci potrivit abordării bazate pe modele interne de rating, după caz,</w:t>
      </w:r>
      <w:r w:rsidR="004E3407">
        <w:rPr>
          <w:lang w:val="ro-MD" w:eastAsia="ro-MD"/>
        </w:rPr>
        <w:t>”.</w:t>
      </w:r>
    </w:p>
    <w:p w14:paraId="2353459E" w14:textId="60943A47" w:rsidR="00F34C6E" w:rsidRPr="00F34C6E" w:rsidRDefault="00F34C6E" w:rsidP="00E91829">
      <w:pPr>
        <w:pStyle w:val="ListParagraph"/>
        <w:numPr>
          <w:ilvl w:val="1"/>
          <w:numId w:val="27"/>
        </w:numPr>
        <w:spacing w:before="80"/>
        <w:ind w:left="0" w:firstLine="567"/>
        <w:contextualSpacing w:val="0"/>
        <w:jc w:val="both"/>
        <w:rPr>
          <w:b/>
          <w:bCs/>
          <w:lang w:val="ro-MD" w:eastAsia="ro-MD"/>
        </w:rPr>
      </w:pPr>
      <w:r>
        <w:rPr>
          <w:lang w:val="ro-MD" w:eastAsia="ro-MD"/>
        </w:rPr>
        <w:t>La subsecțiunea 5 „Deducerea activelor fondului de pensii cu beneficii determinate”</w:t>
      </w:r>
      <w:r w:rsidR="00470862" w:rsidRPr="00470862">
        <w:rPr>
          <w:lang w:val="ro-MD" w:eastAsia="ro-MD"/>
        </w:rPr>
        <w:t xml:space="preserve"> </w:t>
      </w:r>
      <w:r w:rsidR="00470862">
        <w:rPr>
          <w:lang w:val="ro-MD" w:eastAsia="ro-MD"/>
        </w:rPr>
        <w:t>din secțiunea 3, capitolul III</w:t>
      </w:r>
      <w:r>
        <w:rPr>
          <w:lang w:val="ro-MD" w:eastAsia="ro-MD"/>
        </w:rPr>
        <w:t>:</w:t>
      </w:r>
    </w:p>
    <w:p w14:paraId="397CF43A" w14:textId="77777777" w:rsidR="0056740D" w:rsidRPr="0056740D" w:rsidRDefault="00F34C6E" w:rsidP="00FF10CA">
      <w:pPr>
        <w:pStyle w:val="ListParagraph"/>
        <w:numPr>
          <w:ilvl w:val="2"/>
          <w:numId w:val="27"/>
        </w:numPr>
        <w:ind w:left="0" w:firstLine="567"/>
        <w:jc w:val="both"/>
        <w:rPr>
          <w:b/>
          <w:bCs/>
          <w:lang w:val="ro-MD" w:eastAsia="ro-MD"/>
        </w:rPr>
      </w:pPr>
      <w:r w:rsidRPr="00E06541">
        <w:rPr>
          <w:lang w:val="ro-MD" w:eastAsia="ro-MD"/>
        </w:rPr>
        <w:t>d</w:t>
      </w:r>
      <w:r w:rsidR="004E3407" w:rsidRPr="00E06541">
        <w:rPr>
          <w:lang w:val="ro-MD" w:eastAsia="ro-MD"/>
        </w:rPr>
        <w:t xml:space="preserve">enumirea </w:t>
      </w:r>
      <w:r w:rsidR="00800652" w:rsidRPr="00E06541">
        <w:rPr>
          <w:lang w:val="ro-MD" w:eastAsia="ro-MD"/>
        </w:rPr>
        <w:t xml:space="preserve">subsecțiunii </w:t>
      </w:r>
      <w:r w:rsidRPr="00E06541">
        <w:rPr>
          <w:lang w:val="ro-MD" w:eastAsia="ro-MD"/>
        </w:rPr>
        <w:t xml:space="preserve">a </w:t>
      </w:r>
      <w:r w:rsidR="004E3407" w:rsidRPr="00E06541">
        <w:rPr>
          <w:lang w:val="ro-MD" w:eastAsia="ro-MD"/>
        </w:rPr>
        <w:t>5</w:t>
      </w:r>
      <w:r w:rsidRPr="00E06541">
        <w:rPr>
          <w:lang w:val="ro-MD" w:eastAsia="ro-MD"/>
        </w:rPr>
        <w:t xml:space="preserve">-a </w:t>
      </w:r>
      <w:r w:rsidR="004E3407" w:rsidRPr="00E06541">
        <w:rPr>
          <w:lang w:val="ro-MD" w:eastAsia="ro-MD"/>
        </w:rPr>
        <w:t>va avea următorul cuprins</w:t>
      </w:r>
      <w:r w:rsidR="004449F6">
        <w:rPr>
          <w:lang w:val="ro-MD" w:eastAsia="ro-MD"/>
        </w:rPr>
        <w:t>:</w:t>
      </w:r>
    </w:p>
    <w:p w14:paraId="3F0A1DD8" w14:textId="215AF530" w:rsidR="00C34C56" w:rsidRPr="005F3C3C" w:rsidRDefault="004E3407" w:rsidP="0056740D">
      <w:pPr>
        <w:pStyle w:val="ListParagraph"/>
        <w:ind w:left="567"/>
        <w:jc w:val="center"/>
        <w:rPr>
          <w:b/>
          <w:bCs/>
          <w:lang w:val="ro-MD" w:eastAsia="ro-MD"/>
        </w:rPr>
      </w:pPr>
      <w:r w:rsidRPr="00F34C6E">
        <w:rPr>
          <w:lang w:val="ro-MD" w:eastAsia="ro-MD"/>
        </w:rPr>
        <w:t>„</w:t>
      </w:r>
      <w:r w:rsidR="00C34C56" w:rsidRPr="00F34C6E">
        <w:rPr>
          <w:b/>
          <w:bCs/>
          <w:i/>
          <w:iCs/>
          <w:lang w:val="ro-MD" w:eastAsia="ro-MD"/>
        </w:rPr>
        <w:t>Deducerea cuantumurilor negative care rezultă din calcularea cuantumului pierderilor așteptate și a activelor fondului de pensii cu beneficii determinate</w:t>
      </w:r>
      <w:r w:rsidR="00C34C56" w:rsidRPr="00F34C6E">
        <w:rPr>
          <w:lang w:val="ro-MD" w:eastAsia="ro-MD"/>
        </w:rPr>
        <w:t>”</w:t>
      </w:r>
      <w:r w:rsidR="00F34C6E">
        <w:rPr>
          <w:lang w:val="ro-MD" w:eastAsia="ro-MD"/>
        </w:rPr>
        <w:t>;</w:t>
      </w:r>
    </w:p>
    <w:p w14:paraId="1D6E3CEE" w14:textId="4E2AB286" w:rsidR="005F3C3C" w:rsidRPr="005F3C3C" w:rsidRDefault="005F3C3C" w:rsidP="00FF10CA">
      <w:pPr>
        <w:pStyle w:val="ListParagraph"/>
        <w:numPr>
          <w:ilvl w:val="2"/>
          <w:numId w:val="27"/>
        </w:numPr>
        <w:ind w:left="0" w:firstLine="567"/>
        <w:jc w:val="both"/>
        <w:rPr>
          <w:lang w:val="ro-MD" w:eastAsia="ro-MD"/>
        </w:rPr>
      </w:pPr>
      <w:r w:rsidRPr="005F3C3C">
        <w:rPr>
          <w:lang w:val="ro-MD" w:eastAsia="ro-MD"/>
        </w:rPr>
        <w:t xml:space="preserve">se completează cu </w:t>
      </w:r>
      <w:r>
        <w:rPr>
          <w:lang w:val="ro-MD" w:eastAsia="ro-MD"/>
        </w:rPr>
        <w:t>punctul 46</w:t>
      </w:r>
      <w:r w:rsidRPr="005F3C3C">
        <w:rPr>
          <w:vertAlign w:val="superscript"/>
          <w:lang w:val="ro-MD" w:eastAsia="ro-MD"/>
        </w:rPr>
        <w:t>1</w:t>
      </w:r>
      <w:r>
        <w:rPr>
          <w:lang w:val="ro-MD" w:eastAsia="ro-MD"/>
        </w:rPr>
        <w:t xml:space="preserve"> cu următorul cuprins:</w:t>
      </w:r>
    </w:p>
    <w:p w14:paraId="53B5C79B" w14:textId="4DF0467B" w:rsidR="004E3407" w:rsidRPr="00731661" w:rsidRDefault="00C34C56" w:rsidP="00731661">
      <w:pPr>
        <w:jc w:val="both"/>
        <w:rPr>
          <w:lang w:val="ro-MD" w:eastAsia="ro-MD"/>
        </w:rPr>
      </w:pPr>
      <w:r w:rsidRPr="00731661">
        <w:rPr>
          <w:lang w:val="ro-MD" w:eastAsia="ro-MD"/>
        </w:rPr>
        <w:t>„</w:t>
      </w:r>
      <w:r w:rsidRPr="00731661">
        <w:rPr>
          <w:b/>
          <w:bCs/>
          <w:lang w:val="ro-MD" w:eastAsia="ro-MD"/>
        </w:rPr>
        <w:t>46</w:t>
      </w:r>
      <w:r w:rsidRPr="00731661">
        <w:rPr>
          <w:b/>
          <w:bCs/>
          <w:vertAlign w:val="superscript"/>
          <w:lang w:val="ro-MD" w:eastAsia="ro-MD"/>
        </w:rPr>
        <w:t>1</w:t>
      </w:r>
      <w:r w:rsidRPr="00731661">
        <w:rPr>
          <w:b/>
          <w:bCs/>
          <w:lang w:val="ro-MD" w:eastAsia="ro-MD"/>
        </w:rPr>
        <w:t>.</w:t>
      </w:r>
      <w:r w:rsidR="00831DDD">
        <w:rPr>
          <w:b/>
          <w:bCs/>
          <w:lang w:val="ro-MD" w:eastAsia="ro-MD"/>
        </w:rPr>
        <w:t xml:space="preserve"> </w:t>
      </w:r>
      <w:r w:rsidRPr="00731661">
        <w:rPr>
          <w:lang w:val="ro-MD" w:eastAsia="ro-MD"/>
        </w:rPr>
        <w:t>Cuantumul care trebuie dedus în conformitate cu punctul 30 subpunctul 3</w:t>
      </w:r>
      <w:r w:rsidRPr="00731661">
        <w:rPr>
          <w:vertAlign w:val="superscript"/>
          <w:lang w:val="ro-MD" w:eastAsia="ro-MD"/>
        </w:rPr>
        <w:t>1</w:t>
      </w:r>
      <w:r w:rsidR="00177730">
        <w:rPr>
          <w:lang w:val="ro-MD" w:eastAsia="ro-MD"/>
        </w:rPr>
        <w:t xml:space="preserve">) </w:t>
      </w:r>
      <w:r w:rsidRPr="00731661">
        <w:rPr>
          <w:lang w:val="ro-MD" w:eastAsia="ro-MD"/>
        </w:rPr>
        <w:t xml:space="preserve">nu se reduce printr-o creștere a nivelului creanțelor privind impozitul amânat care se bazează pe profitabilitatea viitoare sau prin alte efecte fiscale suplimentare, care ar putea apărea în cazul în care provizioanele ar atinge nivelul pierderilor așteptate menționate în secțiunea „cuantumurile pierderilor așteptate” din actele </w:t>
      </w:r>
      <w:r w:rsidRPr="00731661">
        <w:rPr>
          <w:lang w:val="ro-MD" w:eastAsia="ro-MD"/>
        </w:rPr>
        <w:lastRenderedPageBreak/>
        <w:t>normative ale Băncii Naționale a Moldovei aferente tratamentului riscului de credit potrivit abordării bazate pe modele interne de rating.”.</w:t>
      </w:r>
    </w:p>
    <w:p w14:paraId="519EDFD5" w14:textId="3C299ECC" w:rsidR="00C34C56" w:rsidRDefault="00C34C56" w:rsidP="00E91829">
      <w:pPr>
        <w:pStyle w:val="ListParagraph"/>
        <w:numPr>
          <w:ilvl w:val="1"/>
          <w:numId w:val="27"/>
        </w:numPr>
        <w:spacing w:before="80"/>
        <w:ind w:left="0" w:firstLine="568"/>
        <w:jc w:val="both"/>
        <w:rPr>
          <w:lang w:val="ro-MD" w:eastAsia="ro-MD"/>
        </w:rPr>
      </w:pPr>
      <w:r>
        <w:rPr>
          <w:lang w:val="ro-MD" w:eastAsia="ro-MD"/>
        </w:rPr>
        <w:t>Punctul 48 se completează cu textul „</w:t>
      </w:r>
      <w:r w:rsidRPr="00C34C56">
        <w:rPr>
          <w:lang w:val="ro-MD" w:eastAsia="ro-MD"/>
        </w:rPr>
        <w:t>sau în conformitate cu actele normative ale Băncii Naționale a Moldovei aferente tratamentului riscului de credit pentru bănci potrivit abordării bazate pe modele interne de rating, după caz</w:t>
      </w:r>
      <w:r>
        <w:rPr>
          <w:lang w:val="ro-MD" w:eastAsia="ro-MD"/>
        </w:rPr>
        <w:t>”.</w:t>
      </w:r>
    </w:p>
    <w:p w14:paraId="4CCDF27E" w14:textId="2E8B96EC" w:rsidR="00F34C6E" w:rsidRDefault="00C34C56" w:rsidP="00E91829">
      <w:pPr>
        <w:pStyle w:val="ListParagraph"/>
        <w:numPr>
          <w:ilvl w:val="1"/>
          <w:numId w:val="27"/>
        </w:numPr>
        <w:spacing w:before="80"/>
        <w:ind w:left="0" w:firstLine="568"/>
        <w:jc w:val="both"/>
        <w:rPr>
          <w:lang w:val="ro-MD" w:eastAsia="ro-MD"/>
        </w:rPr>
      </w:pPr>
      <w:r>
        <w:rPr>
          <w:lang w:val="ro-MD" w:eastAsia="ro-MD"/>
        </w:rPr>
        <w:t>La punctul 55 subpunctul 1) litera a) va avea următorul cuprins</w:t>
      </w:r>
      <w:r w:rsidR="00F34C6E">
        <w:rPr>
          <w:lang w:val="ro-MD" w:eastAsia="ro-MD"/>
        </w:rPr>
        <w:t>:</w:t>
      </w:r>
    </w:p>
    <w:p w14:paraId="0D9C12BE" w14:textId="31DA272D" w:rsidR="00C34C56" w:rsidRPr="00F34C6E" w:rsidRDefault="00C34C56" w:rsidP="00E91829">
      <w:pPr>
        <w:spacing w:before="80"/>
        <w:jc w:val="both"/>
        <w:rPr>
          <w:lang w:val="ro-MD" w:eastAsia="ro-MD"/>
        </w:rPr>
      </w:pPr>
      <w:r w:rsidRPr="00F34C6E">
        <w:rPr>
          <w:lang w:val="ro-MD" w:eastAsia="ro-MD"/>
        </w:rPr>
        <w:t>„a) data scadenței poziției scurte este aceeași cu cea a poziției lungi sau survine după această dată sau scadența reziduală a poziției scurte este de cel puțin un an;”.</w:t>
      </w:r>
    </w:p>
    <w:p w14:paraId="11DA7E1F" w14:textId="356FA10D" w:rsidR="00C34C56" w:rsidRDefault="00C34C56" w:rsidP="00E91829">
      <w:pPr>
        <w:pStyle w:val="ListParagraph"/>
        <w:numPr>
          <w:ilvl w:val="1"/>
          <w:numId w:val="27"/>
        </w:numPr>
        <w:spacing w:before="80"/>
        <w:ind w:left="0" w:firstLine="568"/>
        <w:jc w:val="both"/>
        <w:rPr>
          <w:lang w:val="ro-MD" w:eastAsia="ro-MD"/>
        </w:rPr>
      </w:pPr>
      <w:bookmarkStart w:id="7" w:name="_Hlk206752328"/>
      <w:r>
        <w:rPr>
          <w:lang w:val="ro-MD" w:eastAsia="ro-MD"/>
        </w:rPr>
        <w:t>La punctul 56</w:t>
      </w:r>
      <w:r w:rsidR="009479A2">
        <w:rPr>
          <w:lang w:val="ro-MD" w:eastAsia="ro-MD"/>
        </w:rPr>
        <w:t xml:space="preserve"> </w:t>
      </w:r>
      <w:r w:rsidR="009479A2" w:rsidRPr="000E2704">
        <w:rPr>
          <w:lang w:val="ro-MD" w:eastAsia="ro-MD"/>
        </w:rPr>
        <w:t>subpunctul 1)</w:t>
      </w:r>
      <w:r w:rsidR="000E2704">
        <w:rPr>
          <w:lang w:val="ro-MD" w:eastAsia="ro-MD"/>
        </w:rPr>
        <w:t>:</w:t>
      </w:r>
    </w:p>
    <w:p w14:paraId="2F4202EF" w14:textId="26D9AE98" w:rsidR="000E2704" w:rsidRDefault="00F34C6E" w:rsidP="00FF10CA">
      <w:pPr>
        <w:pStyle w:val="ListParagraph"/>
        <w:numPr>
          <w:ilvl w:val="2"/>
          <w:numId w:val="27"/>
        </w:numPr>
        <w:ind w:left="0" w:firstLine="568"/>
        <w:rPr>
          <w:lang w:val="ro-MD" w:eastAsia="ro-MD"/>
        </w:rPr>
      </w:pPr>
      <w:r>
        <w:rPr>
          <w:lang w:val="ro-MD" w:eastAsia="ro-MD"/>
        </w:rPr>
        <w:t xml:space="preserve">la </w:t>
      </w:r>
      <w:r w:rsidR="000E2704" w:rsidRPr="000E2704">
        <w:rPr>
          <w:lang w:val="ro-MD" w:eastAsia="ro-MD"/>
        </w:rPr>
        <w:t>litera a)</w:t>
      </w:r>
      <w:r>
        <w:rPr>
          <w:lang w:val="ro-MD" w:eastAsia="ro-MD"/>
        </w:rPr>
        <w:t>,</w:t>
      </w:r>
      <w:r w:rsidR="000E2704" w:rsidRPr="000E2704">
        <w:rPr>
          <w:lang w:val="ro-MD" w:eastAsia="ro-MD"/>
        </w:rPr>
        <w:t xml:space="preserve"> </w:t>
      </w:r>
      <w:r w:rsidR="008E7520">
        <w:rPr>
          <w:lang w:val="ro-MD" w:eastAsia="ro-MD"/>
        </w:rPr>
        <w:t>textul</w:t>
      </w:r>
      <w:r w:rsidR="008E7520" w:rsidRPr="000E2704">
        <w:rPr>
          <w:lang w:val="ro-MD" w:eastAsia="ro-MD"/>
        </w:rPr>
        <w:t xml:space="preserve"> </w:t>
      </w:r>
      <w:r w:rsidR="000E2704" w:rsidRPr="000E2704">
        <w:rPr>
          <w:lang w:val="ro-MD" w:eastAsia="ro-MD"/>
        </w:rPr>
        <w:t>„</w:t>
      </w:r>
      <w:r w:rsidR="009C68D6">
        <w:rPr>
          <w:lang w:val="ro-MD" w:eastAsia="ro-MD"/>
        </w:rPr>
        <w:t xml:space="preserve">punctele </w:t>
      </w:r>
      <w:r w:rsidR="000E2704" w:rsidRPr="000E2704">
        <w:rPr>
          <w:lang w:val="ro-MD" w:eastAsia="ro-MD"/>
        </w:rPr>
        <w:t>26</w:t>
      </w:r>
      <w:r w:rsidR="008E7520">
        <w:rPr>
          <w:lang w:val="ro-MD" w:eastAsia="ro-MD"/>
        </w:rPr>
        <w:t>-29</w:t>
      </w:r>
      <w:r w:rsidR="000E2704" w:rsidRPr="000E2704">
        <w:rPr>
          <w:lang w:val="ro-MD" w:eastAsia="ro-MD"/>
        </w:rPr>
        <w:t xml:space="preserve">” se substituie cu </w:t>
      </w:r>
      <w:r w:rsidR="008E7520">
        <w:rPr>
          <w:lang w:val="ro-MD" w:eastAsia="ro-MD"/>
        </w:rPr>
        <w:t>textul</w:t>
      </w:r>
      <w:r w:rsidR="008E7520" w:rsidRPr="000E2704">
        <w:rPr>
          <w:lang w:val="ro-MD" w:eastAsia="ro-MD"/>
        </w:rPr>
        <w:t xml:space="preserve"> </w:t>
      </w:r>
      <w:r w:rsidR="000E2704" w:rsidRPr="000E2704">
        <w:rPr>
          <w:lang w:val="ro-MD" w:eastAsia="ro-MD"/>
        </w:rPr>
        <w:t>„</w:t>
      </w:r>
      <w:r w:rsidR="009C68D6">
        <w:rPr>
          <w:lang w:val="ro-MD" w:eastAsia="ro-MD"/>
        </w:rPr>
        <w:t xml:space="preserve">punctele </w:t>
      </w:r>
      <w:r w:rsidR="000E2704" w:rsidRPr="000E2704">
        <w:rPr>
          <w:lang w:val="ro-MD" w:eastAsia="ro-MD"/>
        </w:rPr>
        <w:t>25</w:t>
      </w:r>
      <w:r w:rsidR="000E2704" w:rsidRPr="000E2704">
        <w:rPr>
          <w:vertAlign w:val="superscript"/>
          <w:lang w:val="ro-MD" w:eastAsia="ro-MD"/>
        </w:rPr>
        <w:t>1</w:t>
      </w:r>
      <w:r w:rsidR="008E7520" w:rsidRPr="008E7520">
        <w:rPr>
          <w:lang w:val="ro-MD" w:eastAsia="ro-MD"/>
        </w:rPr>
        <w:t>-29</w:t>
      </w:r>
      <w:r w:rsidR="000E2704" w:rsidRPr="000E2704">
        <w:rPr>
          <w:lang w:val="ro-MD" w:eastAsia="ro-MD"/>
        </w:rPr>
        <w:t>”</w:t>
      </w:r>
      <w:r w:rsidR="000E2704">
        <w:rPr>
          <w:lang w:val="ro-MD" w:eastAsia="ro-MD"/>
        </w:rPr>
        <w:t>;</w:t>
      </w:r>
    </w:p>
    <w:p w14:paraId="29717167" w14:textId="0F0D44FD" w:rsidR="009479A2" w:rsidRDefault="00F34C6E" w:rsidP="00FF10CA">
      <w:pPr>
        <w:pStyle w:val="ListParagraph"/>
        <w:numPr>
          <w:ilvl w:val="2"/>
          <w:numId w:val="27"/>
        </w:numPr>
        <w:ind w:left="0" w:firstLine="568"/>
        <w:rPr>
          <w:lang w:val="ro-MD" w:eastAsia="ro-MD"/>
        </w:rPr>
      </w:pPr>
      <w:r>
        <w:rPr>
          <w:lang w:val="ro-MD" w:eastAsia="ro-MD"/>
        </w:rPr>
        <w:t xml:space="preserve">la </w:t>
      </w:r>
      <w:r w:rsidR="009479A2">
        <w:rPr>
          <w:lang w:val="ro-MD" w:eastAsia="ro-MD"/>
        </w:rPr>
        <w:t>litera b) textul „10) și 11)” se substituie cu textul „</w:t>
      </w:r>
      <w:r w:rsidR="009479A2" w:rsidRPr="009479A2">
        <w:rPr>
          <w:lang w:val="ro-MD" w:eastAsia="ro-MD"/>
        </w:rPr>
        <w:t xml:space="preserve">10) literele b) - e) și 11) </w:t>
      </w:r>
      <w:r w:rsidR="009479A2">
        <w:rPr>
          <w:lang w:val="ro-MD" w:eastAsia="ro-MD"/>
        </w:rPr>
        <w:t xml:space="preserve">- </w:t>
      </w:r>
      <w:r w:rsidR="009479A2" w:rsidRPr="009479A2">
        <w:rPr>
          <w:lang w:val="ro-MD" w:eastAsia="ro-MD"/>
        </w:rPr>
        <w:t>13)</w:t>
      </w:r>
      <w:r w:rsidR="009479A2">
        <w:rPr>
          <w:lang w:val="ro-MD" w:eastAsia="ro-MD"/>
        </w:rPr>
        <w:t>”.</w:t>
      </w:r>
    </w:p>
    <w:bookmarkEnd w:id="7"/>
    <w:p w14:paraId="2D7C9446" w14:textId="5C2859E5" w:rsidR="009479A2" w:rsidRDefault="009479A2" w:rsidP="00E91829">
      <w:pPr>
        <w:pStyle w:val="ListParagraph"/>
        <w:numPr>
          <w:ilvl w:val="1"/>
          <w:numId w:val="27"/>
        </w:numPr>
        <w:spacing w:before="80"/>
        <w:ind w:left="0" w:firstLine="568"/>
        <w:contextualSpacing w:val="0"/>
        <w:jc w:val="both"/>
        <w:rPr>
          <w:lang w:val="ro-MD" w:eastAsia="ro-MD"/>
        </w:rPr>
      </w:pPr>
      <w:r w:rsidRPr="009479A2">
        <w:rPr>
          <w:lang w:val="ro-MD" w:eastAsia="ro-MD"/>
        </w:rPr>
        <w:t>La punctul 59</w:t>
      </w:r>
      <w:r w:rsidR="00800652">
        <w:rPr>
          <w:lang w:val="ro-MD" w:eastAsia="ro-MD"/>
        </w:rPr>
        <w:t>,</w:t>
      </w:r>
      <w:r w:rsidRPr="009479A2">
        <w:rPr>
          <w:lang w:val="ro-MD" w:eastAsia="ro-MD"/>
        </w:rPr>
        <w:t xml:space="preserve"> după textul „Regulamentului nr.111/2018” se completează cu </w:t>
      </w:r>
      <w:r w:rsidR="001657DC">
        <w:rPr>
          <w:lang w:val="ro-MD" w:eastAsia="ro-MD"/>
        </w:rPr>
        <w:t>cuvintele</w:t>
      </w:r>
      <w:r w:rsidR="001657DC" w:rsidRPr="009479A2">
        <w:rPr>
          <w:lang w:val="ro-MD" w:eastAsia="ro-MD"/>
        </w:rPr>
        <w:t xml:space="preserve"> </w:t>
      </w:r>
      <w:r w:rsidRPr="009479A2">
        <w:rPr>
          <w:lang w:val="ro-MD" w:eastAsia="ro-MD"/>
        </w:rPr>
        <w:t>„sau în conformitate cu actele normative ale Băncii Naționale a Moldovei aferente tratamentului riscului de credit pentru bănci potrivit abordării bazate pe modele interne de rating</w:t>
      </w:r>
      <w:r>
        <w:rPr>
          <w:lang w:val="ro-MD" w:eastAsia="ro-MD"/>
        </w:rPr>
        <w:t>”.</w:t>
      </w:r>
    </w:p>
    <w:p w14:paraId="640756CD" w14:textId="198C463F" w:rsidR="009479A2" w:rsidRDefault="009479A2" w:rsidP="00E91829">
      <w:pPr>
        <w:pStyle w:val="ListParagraph"/>
        <w:numPr>
          <w:ilvl w:val="1"/>
          <w:numId w:val="27"/>
        </w:numPr>
        <w:spacing w:before="80"/>
        <w:ind w:left="0" w:firstLine="567"/>
        <w:contextualSpacing w:val="0"/>
        <w:rPr>
          <w:lang w:val="ro-MD" w:eastAsia="ro-MD"/>
        </w:rPr>
      </w:pPr>
      <w:bookmarkStart w:id="8" w:name="_Hlk206758203"/>
      <w:r w:rsidRPr="009479A2">
        <w:rPr>
          <w:lang w:val="ro-MD" w:eastAsia="ro-MD"/>
        </w:rPr>
        <w:t xml:space="preserve">La punctul </w:t>
      </w:r>
      <w:r>
        <w:rPr>
          <w:lang w:val="ro-MD" w:eastAsia="ro-MD"/>
        </w:rPr>
        <w:t>63</w:t>
      </w:r>
      <w:r w:rsidR="002D3626">
        <w:rPr>
          <w:lang w:val="ro-MD" w:eastAsia="ro-MD"/>
        </w:rPr>
        <w:t>, subpunctele 1) și 2)</w:t>
      </w:r>
      <w:r w:rsidRPr="009479A2">
        <w:rPr>
          <w:lang w:val="ro-MD" w:eastAsia="ro-MD"/>
        </w:rPr>
        <w:t>:</w:t>
      </w:r>
    </w:p>
    <w:p w14:paraId="07BE4535" w14:textId="0C53B246" w:rsidR="009C68D6" w:rsidRDefault="00800652" w:rsidP="009C68D6">
      <w:pPr>
        <w:pStyle w:val="ListParagraph"/>
        <w:numPr>
          <w:ilvl w:val="2"/>
          <w:numId w:val="27"/>
        </w:numPr>
        <w:spacing w:before="80"/>
        <w:ind w:left="0" w:firstLine="567"/>
        <w:contextualSpacing w:val="0"/>
        <w:rPr>
          <w:lang w:val="ro-MD" w:eastAsia="ro-MD"/>
        </w:rPr>
      </w:pPr>
      <w:r>
        <w:rPr>
          <w:lang w:val="ro-MD" w:eastAsia="ro-MD"/>
        </w:rPr>
        <w:t xml:space="preserve">la </w:t>
      </w:r>
      <w:r w:rsidR="009C68D6">
        <w:rPr>
          <w:lang w:val="ro-MD" w:eastAsia="ro-MD"/>
        </w:rPr>
        <w:t xml:space="preserve">litera a), textul „punctele </w:t>
      </w:r>
      <w:r w:rsidR="009C68D6" w:rsidRPr="00EB61FA">
        <w:rPr>
          <w:lang w:val="ro-MD" w:eastAsia="ro-MD"/>
        </w:rPr>
        <w:t>26</w:t>
      </w:r>
      <w:r w:rsidR="009C68D6">
        <w:rPr>
          <w:lang w:val="ro-MD" w:eastAsia="ro-MD"/>
        </w:rPr>
        <w:t>-29</w:t>
      </w:r>
      <w:r w:rsidR="009C68D6" w:rsidRPr="00EB61FA">
        <w:rPr>
          <w:lang w:val="ro-MD" w:eastAsia="ro-MD"/>
        </w:rPr>
        <w:t xml:space="preserve">” se substituie cu </w:t>
      </w:r>
      <w:r w:rsidR="009C68D6">
        <w:rPr>
          <w:lang w:val="ro-MD" w:eastAsia="ro-MD"/>
        </w:rPr>
        <w:t>textul</w:t>
      </w:r>
      <w:r w:rsidR="009C68D6" w:rsidRPr="00EB61FA">
        <w:rPr>
          <w:lang w:val="ro-MD" w:eastAsia="ro-MD"/>
        </w:rPr>
        <w:t xml:space="preserve"> „</w:t>
      </w:r>
      <w:r w:rsidR="009C68D6">
        <w:rPr>
          <w:lang w:val="ro-MD" w:eastAsia="ro-MD"/>
        </w:rPr>
        <w:t xml:space="preserve">punctele </w:t>
      </w:r>
      <w:r w:rsidR="009C68D6" w:rsidRPr="00EB61FA">
        <w:rPr>
          <w:lang w:val="ro-MD" w:eastAsia="ro-MD"/>
        </w:rPr>
        <w:t>25</w:t>
      </w:r>
      <w:r w:rsidR="009C68D6" w:rsidRPr="00EB61FA">
        <w:rPr>
          <w:vertAlign w:val="superscript"/>
          <w:lang w:val="ro-MD" w:eastAsia="ro-MD"/>
        </w:rPr>
        <w:t>1</w:t>
      </w:r>
      <w:r w:rsidR="009C68D6" w:rsidRPr="008E7520">
        <w:rPr>
          <w:lang w:val="ro-MD" w:eastAsia="ro-MD"/>
        </w:rPr>
        <w:t>-29</w:t>
      </w:r>
      <w:r w:rsidR="009C68D6" w:rsidRPr="00EB61FA">
        <w:rPr>
          <w:lang w:val="ro-MD" w:eastAsia="ro-MD"/>
        </w:rPr>
        <w:t>”;</w:t>
      </w:r>
    </w:p>
    <w:p w14:paraId="3EFBF83B" w14:textId="15E0A86E" w:rsidR="009479A2" w:rsidRPr="009C68D6" w:rsidRDefault="00800652" w:rsidP="009C68D6">
      <w:pPr>
        <w:pStyle w:val="ListParagraph"/>
        <w:numPr>
          <w:ilvl w:val="2"/>
          <w:numId w:val="27"/>
        </w:numPr>
        <w:spacing w:before="80"/>
        <w:ind w:left="0" w:firstLine="567"/>
        <w:contextualSpacing w:val="0"/>
        <w:rPr>
          <w:lang w:val="ro-MD" w:eastAsia="ro-MD"/>
        </w:rPr>
      </w:pPr>
      <w:r>
        <w:rPr>
          <w:lang w:val="ro-MD" w:eastAsia="ro-MD"/>
        </w:rPr>
        <w:t xml:space="preserve">la </w:t>
      </w:r>
      <w:r w:rsidR="009C68D6">
        <w:rPr>
          <w:lang w:val="ro-MD" w:eastAsia="ro-MD"/>
        </w:rPr>
        <w:t>litera b)</w:t>
      </w:r>
      <w:bookmarkStart w:id="9" w:name="_Hlk206752572"/>
      <w:r w:rsidR="002D3626" w:rsidRPr="009C68D6">
        <w:rPr>
          <w:lang w:val="ro-MD" w:eastAsia="ro-MD"/>
        </w:rPr>
        <w:t>,</w:t>
      </w:r>
      <w:r w:rsidR="009479A2" w:rsidRPr="009C68D6">
        <w:rPr>
          <w:lang w:val="ro-MD" w:eastAsia="ro-MD"/>
        </w:rPr>
        <w:t xml:space="preserve"> textul „10) și 11)” se substituie cu textul „10) literele b) - e) și 11) - 13)”</w:t>
      </w:r>
      <w:r w:rsidR="002D3626" w:rsidRPr="009C68D6">
        <w:rPr>
          <w:lang w:val="ro-MD" w:eastAsia="ro-MD"/>
        </w:rPr>
        <w:t>.</w:t>
      </w:r>
    </w:p>
    <w:bookmarkEnd w:id="8"/>
    <w:bookmarkEnd w:id="9"/>
    <w:p w14:paraId="32E4067A" w14:textId="6E4D7D8E" w:rsidR="00EB61FA" w:rsidRDefault="00EB61FA" w:rsidP="00E91829">
      <w:pPr>
        <w:pStyle w:val="ListParagraph"/>
        <w:numPr>
          <w:ilvl w:val="1"/>
          <w:numId w:val="27"/>
        </w:numPr>
        <w:spacing w:before="80"/>
        <w:ind w:left="0" w:firstLine="567"/>
        <w:contextualSpacing w:val="0"/>
        <w:rPr>
          <w:lang w:val="ro-MD" w:eastAsia="ro-MD"/>
        </w:rPr>
      </w:pPr>
      <w:r>
        <w:rPr>
          <w:lang w:val="ro-MD" w:eastAsia="ro-MD"/>
        </w:rPr>
        <w:t>La punctul 64 subpunctul 1)</w:t>
      </w:r>
      <w:r w:rsidR="00B129E7">
        <w:rPr>
          <w:lang w:val="ro-MD" w:eastAsia="ro-MD"/>
        </w:rPr>
        <w:t>,</w:t>
      </w:r>
      <w:r>
        <w:rPr>
          <w:lang w:val="ro-MD" w:eastAsia="ro-MD"/>
        </w:rPr>
        <w:t xml:space="preserve"> </w:t>
      </w:r>
      <w:r w:rsidR="009C68D6">
        <w:rPr>
          <w:lang w:val="ro-MD" w:eastAsia="ro-MD"/>
        </w:rPr>
        <w:t xml:space="preserve">textul </w:t>
      </w:r>
      <w:r>
        <w:rPr>
          <w:lang w:val="ro-MD" w:eastAsia="ro-MD"/>
        </w:rPr>
        <w:t>„</w:t>
      </w:r>
      <w:r w:rsidR="009C68D6">
        <w:rPr>
          <w:lang w:val="ro-MD" w:eastAsia="ro-MD"/>
        </w:rPr>
        <w:t xml:space="preserve">punctele </w:t>
      </w:r>
      <w:r>
        <w:rPr>
          <w:lang w:val="ro-MD" w:eastAsia="ro-MD"/>
        </w:rPr>
        <w:t>26</w:t>
      </w:r>
      <w:r w:rsidR="009C68D6">
        <w:rPr>
          <w:lang w:val="ro-MD" w:eastAsia="ro-MD"/>
        </w:rPr>
        <w:t>-30</w:t>
      </w:r>
      <w:r>
        <w:rPr>
          <w:lang w:val="ro-MD" w:eastAsia="ro-MD"/>
        </w:rPr>
        <w:t xml:space="preserve">” se substituie cu </w:t>
      </w:r>
      <w:r w:rsidR="009C68D6">
        <w:rPr>
          <w:lang w:val="ro-MD" w:eastAsia="ro-MD"/>
        </w:rPr>
        <w:t xml:space="preserve">textul </w:t>
      </w:r>
      <w:r>
        <w:rPr>
          <w:lang w:val="ro-MD" w:eastAsia="ro-MD"/>
        </w:rPr>
        <w:t>„</w:t>
      </w:r>
      <w:r w:rsidR="009C68D6">
        <w:rPr>
          <w:lang w:val="ro-MD" w:eastAsia="ro-MD"/>
        </w:rPr>
        <w:t xml:space="preserve">punctele </w:t>
      </w:r>
      <w:r>
        <w:rPr>
          <w:lang w:val="ro-MD" w:eastAsia="ro-MD"/>
        </w:rPr>
        <w:t>25</w:t>
      </w:r>
      <w:r>
        <w:rPr>
          <w:vertAlign w:val="superscript"/>
          <w:lang w:val="ro-MD" w:eastAsia="ro-MD"/>
        </w:rPr>
        <w:t>1</w:t>
      </w:r>
      <w:r w:rsidR="009C68D6">
        <w:rPr>
          <w:lang w:val="ro-MD" w:eastAsia="ro-MD"/>
        </w:rPr>
        <w:t>-30</w:t>
      </w:r>
      <w:r>
        <w:rPr>
          <w:lang w:val="ro-MD" w:eastAsia="ro-MD"/>
        </w:rPr>
        <w:t>”.</w:t>
      </w:r>
    </w:p>
    <w:p w14:paraId="1C0D4049" w14:textId="2DD6A567" w:rsidR="00EB61FA" w:rsidRDefault="00623BA7" w:rsidP="00E91829">
      <w:pPr>
        <w:pStyle w:val="ListParagraph"/>
        <w:numPr>
          <w:ilvl w:val="1"/>
          <w:numId w:val="27"/>
        </w:numPr>
        <w:spacing w:before="80"/>
        <w:ind w:left="0" w:firstLine="567"/>
        <w:contextualSpacing w:val="0"/>
        <w:rPr>
          <w:lang w:val="ro-MD" w:eastAsia="ro-MD"/>
        </w:rPr>
      </w:pPr>
      <w:r>
        <w:rPr>
          <w:lang w:val="ro-MD" w:eastAsia="ro-MD"/>
        </w:rPr>
        <w:t>Capitolul III secțiunea 3</w:t>
      </w:r>
      <w:r w:rsidR="0016632B">
        <w:rPr>
          <w:lang w:val="ro-MD" w:eastAsia="ro-MD"/>
        </w:rPr>
        <w:t>,</w:t>
      </w:r>
      <w:r w:rsidR="002F4BA7">
        <w:rPr>
          <w:lang w:val="ro-MD" w:eastAsia="ro-MD"/>
        </w:rPr>
        <w:t xml:space="preserve"> s</w:t>
      </w:r>
      <w:r w:rsidR="00EB61FA">
        <w:rPr>
          <w:lang w:val="ro-MD" w:eastAsia="ro-MD"/>
        </w:rPr>
        <w:t xml:space="preserve">e completează cu </w:t>
      </w:r>
      <w:r w:rsidR="00633075">
        <w:rPr>
          <w:lang w:val="ro-MD" w:eastAsia="ro-MD"/>
        </w:rPr>
        <w:t>s</w:t>
      </w:r>
      <w:r w:rsidR="00EB61FA">
        <w:rPr>
          <w:lang w:val="ro-MD" w:eastAsia="ro-MD"/>
        </w:rPr>
        <w:t>ubsecțiun</w:t>
      </w:r>
      <w:r w:rsidR="002F4BA7">
        <w:rPr>
          <w:lang w:val="ro-MD" w:eastAsia="ro-MD"/>
        </w:rPr>
        <w:t>ile</w:t>
      </w:r>
      <w:r w:rsidR="00EB61FA">
        <w:rPr>
          <w:lang w:val="ro-MD" w:eastAsia="ro-MD"/>
        </w:rPr>
        <w:t xml:space="preserve"> 11 și</w:t>
      </w:r>
      <w:r w:rsidR="002F4BA7">
        <w:rPr>
          <w:lang w:val="ro-MD" w:eastAsia="ro-MD"/>
        </w:rPr>
        <w:t xml:space="preserve"> </w:t>
      </w:r>
      <w:r w:rsidR="00EB61FA">
        <w:rPr>
          <w:lang w:val="ro-MD" w:eastAsia="ro-MD"/>
        </w:rPr>
        <w:t>12 cu următorul cuprins:</w:t>
      </w:r>
    </w:p>
    <w:p w14:paraId="0770C957" w14:textId="7A87257A" w:rsidR="00EB61FA" w:rsidRPr="00EB61FA" w:rsidRDefault="00EB61FA" w:rsidP="0016632B">
      <w:pPr>
        <w:ind w:firstLine="568"/>
        <w:jc w:val="center"/>
        <w:rPr>
          <w:lang w:val="ro-MD" w:eastAsia="ro-MD"/>
        </w:rPr>
      </w:pPr>
      <w:r>
        <w:rPr>
          <w:lang w:val="ro-MD" w:eastAsia="ro-MD"/>
        </w:rPr>
        <w:t>„</w:t>
      </w:r>
      <w:r w:rsidRPr="00EB61FA">
        <w:rPr>
          <w:b/>
          <w:bCs/>
          <w:i/>
          <w:iCs/>
          <w:lang w:val="ro-MD" w:eastAsia="ro-MD"/>
        </w:rPr>
        <w:t>Subsecțiunea 11</w:t>
      </w:r>
    </w:p>
    <w:p w14:paraId="0CE8CFDF" w14:textId="77777777" w:rsidR="00EB61FA" w:rsidRPr="00EB61FA" w:rsidRDefault="00EB61FA" w:rsidP="0016632B">
      <w:pPr>
        <w:ind w:firstLine="568"/>
        <w:jc w:val="center"/>
        <w:rPr>
          <w:lang w:val="ro-MD" w:eastAsia="ro-MD"/>
        </w:rPr>
      </w:pPr>
      <w:r w:rsidRPr="00EB61FA">
        <w:rPr>
          <w:b/>
          <w:bCs/>
          <w:i/>
          <w:iCs/>
          <w:lang w:val="ro-MD" w:eastAsia="ro-MD"/>
        </w:rPr>
        <w:t>Expuneri neperformante și măsuri de restructurare datorate dificultăților financiare</w:t>
      </w:r>
    </w:p>
    <w:p w14:paraId="49258C3E" w14:textId="1E941ACA"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w:t>
      </w:r>
      <w:r w:rsidRPr="00EB61FA">
        <w:rPr>
          <w:b/>
          <w:bCs/>
          <w:lang w:val="ro-MD" w:eastAsia="ro-MD"/>
        </w:rPr>
        <w:t>.</w:t>
      </w:r>
      <w:r w:rsidRPr="00EB61FA">
        <w:rPr>
          <w:lang w:val="ro-MD" w:eastAsia="ro-MD"/>
        </w:rPr>
        <w:t xml:space="preserve"> În sensul punctului 30 subpunctul 12), termenul „expunere” include oricare dintre următoarele elemente, cu condiția ca acestea să nu fie incluse în portofoliul de tranzacționare al băncii:</w:t>
      </w:r>
    </w:p>
    <w:p w14:paraId="40821352" w14:textId="77777777" w:rsidR="00EB61FA" w:rsidRPr="00EB61FA" w:rsidRDefault="00EB61FA" w:rsidP="0016632B">
      <w:pPr>
        <w:jc w:val="both"/>
        <w:rPr>
          <w:lang w:val="ro-MD" w:eastAsia="ro-MD"/>
        </w:rPr>
      </w:pPr>
      <w:r w:rsidRPr="00EB61FA">
        <w:rPr>
          <w:lang w:val="ro-MD" w:eastAsia="ro-MD"/>
        </w:rPr>
        <w:t>1) un instrument de datorie, inclusiv un titlu de datorie, un împrumut, un avans și un depozit la vedere;</w:t>
      </w:r>
    </w:p>
    <w:p w14:paraId="592C00BD" w14:textId="12435325" w:rsidR="00EB61FA" w:rsidRPr="00EB61FA" w:rsidRDefault="00EB61FA" w:rsidP="0016632B">
      <w:pPr>
        <w:jc w:val="both"/>
        <w:rPr>
          <w:lang w:val="ro-MD" w:eastAsia="ro-MD"/>
        </w:rPr>
      </w:pPr>
      <w:r w:rsidRPr="00EB61FA">
        <w:rPr>
          <w:lang w:val="ro-MD" w:eastAsia="ro-MD"/>
        </w:rPr>
        <w:t>2) un angajament de creditare dat, o garanție financiară dată sau orice alt angajament dat, indiferent dacă este revocabil sau irevocabil, cu excepția facilităților de credit neutilizate care pot fi anulate necondiționat, în orice moment și fără notificare, sau care atrag anularea automată ca urmare a deteriorării bonității debitorului.</w:t>
      </w:r>
    </w:p>
    <w:p w14:paraId="0825253C" w14:textId="50135F7E"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w:t>
      </w:r>
      <w:r w:rsidRPr="00EB61FA">
        <w:rPr>
          <w:b/>
          <w:bCs/>
          <w:lang w:val="ro-MD" w:eastAsia="ro-MD"/>
        </w:rPr>
        <w:t>.</w:t>
      </w:r>
      <w:r w:rsidRPr="00EB61FA">
        <w:rPr>
          <w:lang w:val="ro-MD" w:eastAsia="ro-MD"/>
        </w:rPr>
        <w:t xml:space="preserve"> În sensul punctului 30 subpunctul 12), valoarea expunerii unui instrument de datorie este valoarea sa contabilă măsurată fără a ține seama de ajustările specifice pentru riscul de credit, de ajustările de valoare suplimentare în conformitate cu punctul 28 subpunctul 1</w:t>
      </w:r>
      <w:r w:rsidR="00633075">
        <w:rPr>
          <w:lang w:val="ro-MD" w:eastAsia="ro-MD"/>
        </w:rPr>
        <w:t>)</w:t>
      </w:r>
      <w:r w:rsidRPr="00EB61FA">
        <w:rPr>
          <w:lang w:val="ro-MD" w:eastAsia="ro-MD"/>
        </w:rPr>
        <w:t xml:space="preserve"> și de cuantumurile deduse în conformitate cu punctul 30 subpunctul 12), de alte reduceri ale fondurilor proprii aferente expunerii sau de scoaterile în afara bilanțului parțiale efectuate de către bancă după ultima clasificare a expunerii drept neperformantă.</w:t>
      </w:r>
    </w:p>
    <w:p w14:paraId="141228B8" w14:textId="75FB986C"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3</w:t>
      </w:r>
      <w:r w:rsidRPr="00EB61FA">
        <w:rPr>
          <w:b/>
          <w:bCs/>
          <w:lang w:val="ro-MD" w:eastAsia="ro-MD"/>
        </w:rPr>
        <w:t>.</w:t>
      </w:r>
      <w:r w:rsidRPr="00EB61FA">
        <w:rPr>
          <w:lang w:val="ro-MD" w:eastAsia="ro-MD"/>
        </w:rPr>
        <w:t xml:space="preserve"> În sensul punctului 30 subpunctul 12), valoarea expunerii unui instrument de datorie care a fost achiziționată la un preț mai mic decât suma datorată de debitor include diferența dintre prețul de cumpărare și suma datorată de debitor.</w:t>
      </w:r>
    </w:p>
    <w:p w14:paraId="17B0DDFB" w14:textId="2E57B65B"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4</w:t>
      </w:r>
      <w:r w:rsidRPr="00EB61FA">
        <w:rPr>
          <w:b/>
          <w:bCs/>
          <w:lang w:val="ro-MD" w:eastAsia="ro-MD"/>
        </w:rPr>
        <w:t xml:space="preserve">. </w:t>
      </w:r>
      <w:r w:rsidRPr="00EB61FA">
        <w:rPr>
          <w:lang w:val="ro-MD" w:eastAsia="ro-MD"/>
        </w:rPr>
        <w:t>În sensul punctului 30 subpunctul 12), valoarea expunerii unui angajament de creditare dat, a unei garanții financiare date sau a oricărui alt angajament dat astfel cum este menționat la punctul 67</w:t>
      </w:r>
      <w:r w:rsidRPr="00EB61FA">
        <w:rPr>
          <w:vertAlign w:val="superscript"/>
          <w:lang w:val="ro-MD" w:eastAsia="ro-MD"/>
        </w:rPr>
        <w:t>1</w:t>
      </w:r>
      <w:r w:rsidRPr="00EB61FA">
        <w:rPr>
          <w:lang w:val="ro-MD" w:eastAsia="ro-MD"/>
        </w:rPr>
        <w:t xml:space="preserve"> subpunctul 2) este valoarea sa nominală, care reprezintă expunerea maximă a băncii la riscul de credit fără a ține seama de nicio protecție finanțată sau nefinanțată a creditului. Valoarea nominală a unui angajament de creditare este cuantumul neutilizat pe care banca s-a angajat să îl acorde, iar valoarea nominală a unei garanții financiare date este cuantumul maxim pe care entitatea ar putea să îl plătească dacă se apelează la garanție.</w:t>
      </w:r>
    </w:p>
    <w:p w14:paraId="7740B66E" w14:textId="1682321D" w:rsidR="00EB61FA" w:rsidRPr="00EB61FA" w:rsidRDefault="00EB61FA" w:rsidP="0016632B">
      <w:pPr>
        <w:jc w:val="both"/>
        <w:rPr>
          <w:lang w:val="ro-MD" w:eastAsia="ro-MD"/>
        </w:rPr>
      </w:pPr>
      <w:r w:rsidRPr="00EB61FA">
        <w:rPr>
          <w:b/>
          <w:bCs/>
          <w:lang w:val="ro-MD" w:eastAsia="ro-MD"/>
        </w:rPr>
        <w:lastRenderedPageBreak/>
        <w:t>67</w:t>
      </w:r>
      <w:r w:rsidRPr="00EB61FA">
        <w:rPr>
          <w:b/>
          <w:bCs/>
          <w:vertAlign w:val="superscript"/>
          <w:lang w:val="ro-MD" w:eastAsia="ro-MD"/>
        </w:rPr>
        <w:t>5</w:t>
      </w:r>
      <w:r w:rsidRPr="00EB61FA">
        <w:rPr>
          <w:b/>
          <w:bCs/>
          <w:lang w:val="ro-MD" w:eastAsia="ro-MD"/>
        </w:rPr>
        <w:t>.</w:t>
      </w:r>
      <w:r w:rsidRPr="00EB61FA">
        <w:rPr>
          <w:lang w:val="ro-MD" w:eastAsia="ro-MD"/>
        </w:rPr>
        <w:t xml:space="preserve"> Valoarea nominală menționată la punctul 67</w:t>
      </w:r>
      <w:r w:rsidRPr="00EB61FA">
        <w:rPr>
          <w:vertAlign w:val="superscript"/>
          <w:lang w:val="ro-MD" w:eastAsia="ro-MD"/>
        </w:rPr>
        <w:t>4</w:t>
      </w:r>
      <w:r w:rsidRPr="00EB61FA">
        <w:rPr>
          <w:lang w:val="ro-MD" w:eastAsia="ro-MD"/>
        </w:rPr>
        <w:t xml:space="preserve"> nu ține seama de ajustările specifice pentru riscul de credit, ajustările de valoare suplimentare în conformitate cu punctul 28 subpunctul 1</w:t>
      </w:r>
      <w:r w:rsidR="00633075">
        <w:rPr>
          <w:lang w:val="ro-MD" w:eastAsia="ro-MD"/>
        </w:rPr>
        <w:t>)</w:t>
      </w:r>
      <w:r w:rsidRPr="00EB61FA">
        <w:rPr>
          <w:lang w:val="ro-MD" w:eastAsia="ro-MD"/>
        </w:rPr>
        <w:t xml:space="preserve"> și cuantumurile deduse în conformitate cu punctul 30 subpunctul 12) sau de alte reduceri ale fondurilor proprii aferente expunerii.</w:t>
      </w:r>
    </w:p>
    <w:p w14:paraId="08A38869" w14:textId="5D729EB2"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6</w:t>
      </w:r>
      <w:r w:rsidRPr="00EB61FA">
        <w:rPr>
          <w:b/>
          <w:bCs/>
          <w:lang w:val="ro-MD" w:eastAsia="ro-MD"/>
        </w:rPr>
        <w:t xml:space="preserve">. </w:t>
      </w:r>
      <w:r w:rsidRPr="00EB61FA">
        <w:rPr>
          <w:lang w:val="ro-MD" w:eastAsia="ro-MD"/>
        </w:rPr>
        <w:t>În sensul punctului 30 subpunctul 12), următoarele expuneri sunt clasificate drept neperformante:</w:t>
      </w:r>
    </w:p>
    <w:p w14:paraId="04B4CDBC" w14:textId="77777777" w:rsidR="00EB61FA" w:rsidRPr="00EB61FA" w:rsidRDefault="00EB61FA" w:rsidP="0016632B">
      <w:pPr>
        <w:jc w:val="both"/>
        <w:rPr>
          <w:lang w:val="ro-MD" w:eastAsia="ro-MD"/>
        </w:rPr>
      </w:pPr>
      <w:r w:rsidRPr="00EB61FA">
        <w:rPr>
          <w:lang w:val="ro-MD" w:eastAsia="ro-MD"/>
        </w:rPr>
        <w:t>1) o expunere care este considerată a fi în stare de nerambursare în conformitate cu secțiunea a 3-a, capitolul III din Regulamentul 111/2018;</w:t>
      </w:r>
    </w:p>
    <w:p w14:paraId="27455182" w14:textId="77777777" w:rsidR="00EB61FA" w:rsidRPr="00EB61FA" w:rsidRDefault="00EB61FA" w:rsidP="0016632B">
      <w:pPr>
        <w:jc w:val="both"/>
        <w:rPr>
          <w:lang w:val="ro-MD" w:eastAsia="ro-MD"/>
        </w:rPr>
      </w:pPr>
      <w:r w:rsidRPr="00EB61FA">
        <w:rPr>
          <w:lang w:val="ro-MD" w:eastAsia="ro-MD"/>
        </w:rPr>
        <w:t>2) o expunere care este considerată a fi depreciată în conformitate cu cadrul contabil;</w:t>
      </w:r>
    </w:p>
    <w:p w14:paraId="2954A226" w14:textId="77777777" w:rsidR="00EB61FA" w:rsidRPr="00EB61FA" w:rsidRDefault="00EB61FA" w:rsidP="0016632B">
      <w:pPr>
        <w:jc w:val="both"/>
        <w:rPr>
          <w:lang w:val="ro-MD" w:eastAsia="ro-MD"/>
        </w:rPr>
      </w:pPr>
      <w:r w:rsidRPr="00EB61FA">
        <w:rPr>
          <w:lang w:val="ro-MD" w:eastAsia="ro-MD"/>
        </w:rPr>
        <w:t>3) o expunere supusă unei perioade de probă în conformitate cu punctul 67</w:t>
      </w:r>
      <w:r w:rsidRPr="00EB61FA">
        <w:rPr>
          <w:vertAlign w:val="superscript"/>
          <w:lang w:val="ro-MD" w:eastAsia="ro-MD"/>
        </w:rPr>
        <w:t>12</w:t>
      </w:r>
      <w:r w:rsidRPr="00EB61FA">
        <w:rPr>
          <w:lang w:val="ro-MD" w:eastAsia="ro-MD"/>
        </w:rPr>
        <w:t>, atunci când sunt acordate măsuri suplimentare de restructurare datorate dificultăților financiare sau când expunerea devine restantă cu peste 30 de zile;</w:t>
      </w:r>
    </w:p>
    <w:p w14:paraId="2EDD4EF1" w14:textId="77777777" w:rsidR="00EB61FA" w:rsidRPr="00EB61FA" w:rsidRDefault="00EB61FA" w:rsidP="0016632B">
      <w:pPr>
        <w:jc w:val="both"/>
        <w:rPr>
          <w:lang w:val="ro-MD" w:eastAsia="ro-MD"/>
        </w:rPr>
      </w:pPr>
      <w:r w:rsidRPr="00EB61FA">
        <w:rPr>
          <w:lang w:val="ro-MD" w:eastAsia="ro-MD"/>
        </w:rPr>
        <w:t>4) o expunere sub forma unui angajament care, dacă ar fi tras sau utilizat în alt mod, probabil nu ar fi restituit în întregime fără executarea garanțiilor reale;</w:t>
      </w:r>
    </w:p>
    <w:p w14:paraId="7B2A43CC" w14:textId="237A8547" w:rsidR="00EB61FA" w:rsidRPr="00EB61FA" w:rsidRDefault="00EB61FA" w:rsidP="0016632B">
      <w:pPr>
        <w:jc w:val="both"/>
        <w:rPr>
          <w:lang w:val="ro-MD" w:eastAsia="ro-MD"/>
        </w:rPr>
      </w:pPr>
      <w:r w:rsidRPr="00EB61FA">
        <w:rPr>
          <w:lang w:val="ro-MD" w:eastAsia="ro-MD"/>
        </w:rPr>
        <w:t>5) o expunere sub forma unei garanții financiare care este susceptibilă de a fi exercitată de beneficiarul garanției, inclusiv atunci când expunerea garantată suport îndeplinește criteriile pentru a fi considerată drept neperformantă.</w:t>
      </w:r>
    </w:p>
    <w:p w14:paraId="1F77D78E" w14:textId="6CD7879D"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7</w:t>
      </w:r>
      <w:r w:rsidRPr="00EB61FA">
        <w:rPr>
          <w:b/>
          <w:bCs/>
          <w:lang w:val="ro-MD" w:eastAsia="ro-MD"/>
        </w:rPr>
        <w:t xml:space="preserve">. </w:t>
      </w:r>
      <w:r w:rsidRPr="00EB61FA">
        <w:rPr>
          <w:lang w:val="ro-MD" w:eastAsia="ro-MD"/>
        </w:rPr>
        <w:t>În sensul punctului 67</w:t>
      </w:r>
      <w:r w:rsidRPr="00EB61FA">
        <w:rPr>
          <w:vertAlign w:val="superscript"/>
          <w:lang w:val="ro-MD" w:eastAsia="ro-MD"/>
        </w:rPr>
        <w:t>6</w:t>
      </w:r>
      <w:r w:rsidRPr="00EB61FA">
        <w:rPr>
          <w:lang w:val="ro-MD" w:eastAsia="ro-MD"/>
        </w:rPr>
        <w:t xml:space="preserve"> subpunctul 1), în cazul în care banca are expuneri bilanțiere față de un debitor care sunt restante cu peste 90 de zile și care reprezintă mai mult de 20% din totalul expunerilor bilanțiere față de debitorul respectiv, toate expunerile bilanțiere și </w:t>
      </w:r>
      <w:proofErr w:type="spellStart"/>
      <w:r w:rsidRPr="00EB61FA">
        <w:rPr>
          <w:lang w:val="ro-MD" w:eastAsia="ro-MD"/>
        </w:rPr>
        <w:t>extrabilanțiere</w:t>
      </w:r>
      <w:proofErr w:type="spellEnd"/>
      <w:r w:rsidRPr="00EB61FA">
        <w:rPr>
          <w:lang w:val="ro-MD" w:eastAsia="ro-MD"/>
        </w:rPr>
        <w:t xml:space="preserve"> față de debitorul respectiv sunt considerate ca fiind neperformante.</w:t>
      </w:r>
    </w:p>
    <w:p w14:paraId="53953289" w14:textId="2027F1C5"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8</w:t>
      </w:r>
      <w:r w:rsidRPr="00EB61FA">
        <w:rPr>
          <w:b/>
          <w:bCs/>
          <w:lang w:val="ro-MD" w:eastAsia="ro-MD"/>
        </w:rPr>
        <w:t>.</w:t>
      </w:r>
      <w:r w:rsidRPr="00EB61FA">
        <w:rPr>
          <w:lang w:val="ro-MD" w:eastAsia="ro-MD"/>
        </w:rPr>
        <w:t xml:space="preserve"> Expunerile cărora nu li s-a aplicat o măsură de restructurare datorate dificultăților financiare încetează să mai fie clasificate drept neperformante în sensul punctului 67</w:t>
      </w:r>
      <w:r w:rsidRPr="00EB61FA">
        <w:rPr>
          <w:vertAlign w:val="superscript"/>
          <w:lang w:val="ro-MD" w:eastAsia="ro-MD"/>
        </w:rPr>
        <w:t>6</w:t>
      </w:r>
      <w:r w:rsidRPr="00EB61FA">
        <w:rPr>
          <w:lang w:val="ro-MD" w:eastAsia="ro-MD"/>
        </w:rPr>
        <w:t xml:space="preserve"> subpunctul 1) atunci când sunt îndeplinite cumulativ următoarele condiții:</w:t>
      </w:r>
    </w:p>
    <w:p w14:paraId="1DC08458" w14:textId="77777777" w:rsidR="00EB61FA" w:rsidRPr="00EB61FA" w:rsidRDefault="00EB61FA" w:rsidP="0016632B">
      <w:pPr>
        <w:jc w:val="both"/>
        <w:rPr>
          <w:lang w:val="ro-MD" w:eastAsia="ro-MD"/>
        </w:rPr>
      </w:pPr>
      <w:r w:rsidRPr="00EB61FA">
        <w:rPr>
          <w:lang w:val="ro-MD" w:eastAsia="ro-MD"/>
        </w:rPr>
        <w:t>1) expunerea îndeplinește criteriile aplicate de bancă pentru încetarea clasificării ca expunere depreciată în conformitate cu cadrul contabil sau ca expunere aflată în stare de nerambursare în conformitate cu secțiunea a 3-a, capitolul III din Regulamentul 111/2018;</w:t>
      </w:r>
    </w:p>
    <w:p w14:paraId="7DA1DDE3" w14:textId="77777777" w:rsidR="00EB61FA" w:rsidRPr="00EB61FA" w:rsidRDefault="00EB61FA" w:rsidP="0016632B">
      <w:pPr>
        <w:jc w:val="both"/>
        <w:rPr>
          <w:lang w:val="ro-MD" w:eastAsia="ro-MD"/>
        </w:rPr>
      </w:pPr>
      <w:r w:rsidRPr="00EB61FA">
        <w:rPr>
          <w:lang w:val="ro-MD" w:eastAsia="ro-MD"/>
        </w:rPr>
        <w:t>2) situația debitorului s-a îmbunătățit într-o asemenea măsură încât banca este convinsă că rambursarea va fi probabil efectuată integral și la timp;</w:t>
      </w:r>
    </w:p>
    <w:p w14:paraId="45CA36F7" w14:textId="3567DEB5" w:rsidR="00EB61FA" w:rsidRPr="00EB61FA" w:rsidRDefault="00EB61FA" w:rsidP="0016632B">
      <w:pPr>
        <w:jc w:val="both"/>
        <w:rPr>
          <w:lang w:val="ro-MD" w:eastAsia="ro-MD"/>
        </w:rPr>
      </w:pPr>
      <w:r w:rsidRPr="00EB61FA">
        <w:rPr>
          <w:lang w:val="ro-MD" w:eastAsia="ro-MD"/>
        </w:rPr>
        <w:t>3) debitorul nu are nicio sumă restantă de peste 90 de zile.</w:t>
      </w:r>
    </w:p>
    <w:p w14:paraId="79AB71FA" w14:textId="3772C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9</w:t>
      </w:r>
      <w:r w:rsidRPr="00EB61FA">
        <w:rPr>
          <w:b/>
          <w:bCs/>
          <w:lang w:val="ro-MD" w:eastAsia="ro-MD"/>
        </w:rPr>
        <w:t xml:space="preserve">. </w:t>
      </w:r>
      <w:r w:rsidRPr="00EB61FA">
        <w:rPr>
          <w:lang w:val="ro-MD" w:eastAsia="ro-MD"/>
        </w:rPr>
        <w:t>Clasificarea unei expuneri neperformante drept activ imobilizat deținut în vederea vânzării în conformitate cu cadrul contabil nu pune capăt clasificării expunerii drept expunere neperformantă în sensul punctului 30 subpunctul 12).</w:t>
      </w:r>
      <w:r w:rsidRPr="00EB61FA">
        <w:rPr>
          <w:sz w:val="18"/>
          <w:szCs w:val="18"/>
          <w:highlight w:val="lightGray"/>
          <w:lang w:val="ro-MD" w:eastAsia="ro-MD"/>
        </w:rPr>
        <w:t xml:space="preserve"> </w:t>
      </w:r>
    </w:p>
    <w:p w14:paraId="41407244" w14:textId="21329242"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10</w:t>
      </w:r>
      <w:r w:rsidRPr="00EB61FA">
        <w:rPr>
          <w:b/>
          <w:bCs/>
          <w:lang w:val="ro-MD" w:eastAsia="ro-MD"/>
        </w:rPr>
        <w:t xml:space="preserve">. </w:t>
      </w:r>
      <w:r w:rsidRPr="00EB61FA">
        <w:rPr>
          <w:lang w:val="ro-MD" w:eastAsia="ro-MD"/>
        </w:rPr>
        <w:t xml:space="preserve">Expunerile neperformante cărora li s-au aplicat măsuri de restructurare </w:t>
      </w:r>
      <w:bookmarkStart w:id="10" w:name="_Hlk218518066"/>
      <w:r w:rsidR="00297800">
        <w:rPr>
          <w:lang w:val="ro-MD" w:eastAsia="ro-MD"/>
        </w:rPr>
        <w:t>din cauza</w:t>
      </w:r>
      <w:r w:rsidR="00297800" w:rsidRPr="00EB61FA">
        <w:rPr>
          <w:lang w:val="ro-MD" w:eastAsia="ro-MD"/>
        </w:rPr>
        <w:t xml:space="preserve"> </w:t>
      </w:r>
      <w:bookmarkEnd w:id="10"/>
      <w:r w:rsidRPr="00EB61FA">
        <w:rPr>
          <w:lang w:val="ro-MD" w:eastAsia="ro-MD"/>
        </w:rPr>
        <w:t>dificultăților financiare încetează să mai fie clasificate drept neperformante în sensul punctului 30 subpunctul 12) atunci când sunt îndeplinite cumulativ următoarele condiții:</w:t>
      </w:r>
    </w:p>
    <w:p w14:paraId="606C6AA6" w14:textId="77777777" w:rsidR="00EB61FA" w:rsidRPr="00EB61FA" w:rsidRDefault="00EB61FA" w:rsidP="0016632B">
      <w:pPr>
        <w:jc w:val="both"/>
        <w:rPr>
          <w:lang w:val="ro-MD" w:eastAsia="ro-MD"/>
        </w:rPr>
      </w:pPr>
      <w:r w:rsidRPr="00EB61FA">
        <w:rPr>
          <w:lang w:val="ro-MD" w:eastAsia="ro-MD"/>
        </w:rPr>
        <w:t>1) expunerile au încetat să mai fie într-o situație care ar duce la clasificarea acestora drept neperformante în temeiul punctului 67</w:t>
      </w:r>
      <w:r w:rsidRPr="00EB61FA">
        <w:rPr>
          <w:vertAlign w:val="superscript"/>
          <w:lang w:val="ro-MD" w:eastAsia="ro-MD"/>
        </w:rPr>
        <w:t>6</w:t>
      </w:r>
      <w:r w:rsidRPr="00EB61FA">
        <w:rPr>
          <w:lang w:val="ro-MD" w:eastAsia="ro-MD"/>
        </w:rPr>
        <w:t>;</w:t>
      </w:r>
    </w:p>
    <w:p w14:paraId="3A445B3D" w14:textId="2C21A6D9" w:rsidR="00EB61FA" w:rsidRPr="00EB61FA" w:rsidRDefault="00EB61FA" w:rsidP="0016632B">
      <w:pPr>
        <w:jc w:val="both"/>
        <w:rPr>
          <w:lang w:val="ro-MD" w:eastAsia="ro-MD"/>
        </w:rPr>
      </w:pPr>
      <w:r w:rsidRPr="00EB61FA">
        <w:rPr>
          <w:lang w:val="ro-MD" w:eastAsia="ro-MD"/>
        </w:rPr>
        <w:t xml:space="preserve">2) a trecut cel puțin un an de la data la care au fost acordate măsuri de restructurare </w:t>
      </w:r>
      <w:r w:rsidR="00297800">
        <w:rPr>
          <w:lang w:val="ro-MD" w:eastAsia="ro-MD"/>
        </w:rPr>
        <w:t>din cauza</w:t>
      </w:r>
      <w:r w:rsidR="00297800" w:rsidRPr="00EB61FA">
        <w:rPr>
          <w:lang w:val="ro-MD" w:eastAsia="ro-MD"/>
        </w:rPr>
        <w:t xml:space="preserve"> </w:t>
      </w:r>
      <w:r w:rsidRPr="00EB61FA">
        <w:rPr>
          <w:lang w:val="ro-MD" w:eastAsia="ro-MD"/>
        </w:rPr>
        <w:t>dificultăților financiare sau de la data la care expunerile au fost clasificate drept neperformante, luându-se în calcul data cea mai târzie;</w:t>
      </w:r>
    </w:p>
    <w:p w14:paraId="6B6D1371" w14:textId="6EB1C88E" w:rsidR="00EB61FA" w:rsidRPr="00EB61FA" w:rsidRDefault="00EB61FA" w:rsidP="0016632B">
      <w:pPr>
        <w:jc w:val="both"/>
        <w:rPr>
          <w:lang w:val="ro-MD" w:eastAsia="ro-MD"/>
        </w:rPr>
      </w:pPr>
      <w:r w:rsidRPr="00EB61FA">
        <w:rPr>
          <w:lang w:val="ro-MD" w:eastAsia="ro-MD"/>
        </w:rPr>
        <w:t xml:space="preserve">3) nu există nicio sumă restantă în urma măsurilor de restructurare </w:t>
      </w:r>
      <w:r w:rsidR="00297800">
        <w:rPr>
          <w:lang w:val="ro-MD" w:eastAsia="ro-MD"/>
        </w:rPr>
        <w:t>din cauza</w:t>
      </w:r>
      <w:r w:rsidR="00297800" w:rsidRPr="00EB61FA">
        <w:rPr>
          <w:lang w:val="ro-MD" w:eastAsia="ro-MD"/>
        </w:rPr>
        <w:t xml:space="preserve"> </w:t>
      </w:r>
      <w:r w:rsidRPr="00EB61FA">
        <w:rPr>
          <w:lang w:val="ro-MD" w:eastAsia="ro-MD"/>
        </w:rPr>
        <w:t>dificultăților financiare, iar banca, pe baza analizei situației financiare a debitorului, consideră acceptabilă probabilitatea ca expunerea să fie rambursată integral și la timp.</w:t>
      </w:r>
    </w:p>
    <w:p w14:paraId="528FBF8D"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11</w:t>
      </w:r>
      <w:r w:rsidRPr="00EB61FA">
        <w:rPr>
          <w:b/>
          <w:bCs/>
          <w:lang w:val="ro-MD" w:eastAsia="ro-MD"/>
        </w:rPr>
        <w:t xml:space="preserve">. </w:t>
      </w:r>
      <w:r w:rsidRPr="00EB61FA">
        <w:rPr>
          <w:lang w:val="ro-MD" w:eastAsia="ro-MD"/>
        </w:rPr>
        <w:t>Rambursarea integrală și la timp poate fi considerată probabilă atunci când debitorul a efectuat la timp și în mod regulat plata unor sume egale cu oricare dintre următoarele:</w:t>
      </w:r>
    </w:p>
    <w:p w14:paraId="6FB45478" w14:textId="0DC8BD15" w:rsidR="00EB61FA" w:rsidRPr="00EB61FA" w:rsidRDefault="00EB61FA" w:rsidP="0016632B">
      <w:pPr>
        <w:jc w:val="both"/>
        <w:rPr>
          <w:lang w:val="ro-MD" w:eastAsia="ro-MD"/>
        </w:rPr>
      </w:pPr>
      <w:r w:rsidRPr="00EB61FA">
        <w:rPr>
          <w:lang w:val="ro-MD" w:eastAsia="ro-MD"/>
        </w:rPr>
        <w:t xml:space="preserve">1) suma care era restantă înainte de acordarea măsurii de restructurare </w:t>
      </w:r>
      <w:r w:rsidR="00297800">
        <w:rPr>
          <w:lang w:val="ro-MD" w:eastAsia="ro-MD"/>
        </w:rPr>
        <w:t>din cauza</w:t>
      </w:r>
      <w:r w:rsidR="00297800" w:rsidRPr="00EB61FA">
        <w:rPr>
          <w:lang w:val="ro-MD" w:eastAsia="ro-MD"/>
        </w:rPr>
        <w:t xml:space="preserve"> </w:t>
      </w:r>
      <w:r w:rsidRPr="00EB61FA">
        <w:rPr>
          <w:lang w:val="ro-MD" w:eastAsia="ro-MD"/>
        </w:rPr>
        <w:t>dificultăților financiare, în cazul în care existau sume restante;</w:t>
      </w:r>
    </w:p>
    <w:p w14:paraId="74196E09" w14:textId="1BC93377" w:rsidR="00EB61FA" w:rsidRPr="00EB61FA" w:rsidRDefault="00EB61FA" w:rsidP="0016632B">
      <w:pPr>
        <w:jc w:val="both"/>
        <w:rPr>
          <w:lang w:val="ro-MD" w:eastAsia="ro-MD"/>
        </w:rPr>
      </w:pPr>
      <w:r w:rsidRPr="00EB61FA">
        <w:rPr>
          <w:lang w:val="ro-MD" w:eastAsia="ro-MD"/>
        </w:rPr>
        <w:lastRenderedPageBreak/>
        <w:t xml:space="preserve">2) suma care a fost scoasă în afara bilanțului prin măsura de restructurare </w:t>
      </w:r>
      <w:r w:rsidR="00297800">
        <w:rPr>
          <w:lang w:val="ro-MD" w:eastAsia="ro-MD"/>
        </w:rPr>
        <w:t>din cauza</w:t>
      </w:r>
      <w:r w:rsidR="00297800" w:rsidRPr="00EB61FA">
        <w:rPr>
          <w:lang w:val="ro-MD" w:eastAsia="ro-MD"/>
        </w:rPr>
        <w:t xml:space="preserve"> </w:t>
      </w:r>
      <w:r w:rsidRPr="00EB61FA">
        <w:rPr>
          <w:lang w:val="ro-MD" w:eastAsia="ro-MD"/>
        </w:rPr>
        <w:t>dificultăților financiare, în cazul în care nu existau sume restante.</w:t>
      </w:r>
    </w:p>
    <w:p w14:paraId="0E9F4596"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12</w:t>
      </w:r>
      <w:r w:rsidRPr="00EB61FA">
        <w:rPr>
          <w:b/>
          <w:bCs/>
          <w:lang w:val="ro-MD" w:eastAsia="ro-MD"/>
        </w:rPr>
        <w:t xml:space="preserve">. </w:t>
      </w:r>
      <w:r w:rsidRPr="00EB61FA">
        <w:rPr>
          <w:lang w:val="ro-MD" w:eastAsia="ro-MD"/>
        </w:rPr>
        <w:t>În cazul în care o expunere neperformantă a încetat să mai fie clasificată drept neperformantă în conformitate cu punctul 67</w:t>
      </w:r>
      <w:r w:rsidRPr="00EB61FA">
        <w:rPr>
          <w:vertAlign w:val="superscript"/>
          <w:lang w:val="ro-MD" w:eastAsia="ro-MD"/>
        </w:rPr>
        <w:t>10</w:t>
      </w:r>
      <w:r w:rsidRPr="00EB61FA">
        <w:rPr>
          <w:lang w:val="ro-MD" w:eastAsia="ro-MD"/>
        </w:rPr>
        <w:t>, expunerea respectivă este supusă unei perioade de probă până când sunt îndeplinite cumulativ următoarele condiții:</w:t>
      </w:r>
    </w:p>
    <w:p w14:paraId="0F3D37C7" w14:textId="557B5CF8" w:rsidR="00EB61FA" w:rsidRPr="00EB61FA" w:rsidRDefault="00EB61FA" w:rsidP="0016632B">
      <w:pPr>
        <w:jc w:val="both"/>
        <w:rPr>
          <w:lang w:val="ro-MD" w:eastAsia="ro-MD"/>
        </w:rPr>
      </w:pPr>
      <w:r w:rsidRPr="00EB61FA">
        <w:rPr>
          <w:lang w:val="ro-MD" w:eastAsia="ro-MD"/>
        </w:rPr>
        <w:t xml:space="preserve">1) au trecut cel puțin doi ani de la data la care expunerea căreia i s-au aplicat măsuri de restructurare </w:t>
      </w:r>
      <w:r w:rsidR="00297800">
        <w:rPr>
          <w:lang w:val="ro-MD" w:eastAsia="ro-MD"/>
        </w:rPr>
        <w:t>din cauza</w:t>
      </w:r>
      <w:r w:rsidR="00297800" w:rsidRPr="00EB61FA">
        <w:rPr>
          <w:lang w:val="ro-MD" w:eastAsia="ro-MD"/>
        </w:rPr>
        <w:t xml:space="preserve"> </w:t>
      </w:r>
      <w:r w:rsidRPr="00EB61FA">
        <w:rPr>
          <w:lang w:val="ro-MD" w:eastAsia="ro-MD"/>
        </w:rPr>
        <w:t>dificultăților financiare a fost reclasificată drept performantă;</w:t>
      </w:r>
    </w:p>
    <w:p w14:paraId="3A918E2E" w14:textId="77777777" w:rsidR="00EB61FA" w:rsidRPr="00EB61FA" w:rsidRDefault="00EB61FA" w:rsidP="0016632B">
      <w:pPr>
        <w:jc w:val="both"/>
        <w:rPr>
          <w:lang w:val="ro-MD" w:eastAsia="ro-MD"/>
        </w:rPr>
      </w:pPr>
      <w:r w:rsidRPr="00EB61FA">
        <w:rPr>
          <w:lang w:val="ro-MD" w:eastAsia="ro-MD"/>
        </w:rPr>
        <w:t>2) pe parcursul a cel puțin jumătate din perioada de probă la care a fost supusă expunerea s-au efectuat plăți regulate și la timp care au dus la plata unei sume agregate substanțiale aferente principalului sau dobânzii;</w:t>
      </w:r>
    </w:p>
    <w:p w14:paraId="7D086016" w14:textId="6AFC5E12" w:rsidR="00EB61FA" w:rsidRPr="00EB61FA" w:rsidRDefault="00EB61FA" w:rsidP="0016632B">
      <w:pPr>
        <w:jc w:val="both"/>
        <w:rPr>
          <w:lang w:val="ro-MD" w:eastAsia="ro-MD"/>
        </w:rPr>
      </w:pPr>
      <w:r w:rsidRPr="00EB61FA">
        <w:rPr>
          <w:lang w:val="ro-MD" w:eastAsia="ro-MD"/>
        </w:rPr>
        <w:t>3) niciuna dintre expunerile față de debitor nu este restantă cu peste 30 de zile.</w:t>
      </w:r>
    </w:p>
    <w:p w14:paraId="455B22FA" w14:textId="78AA6EA8"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13</w:t>
      </w:r>
      <w:r w:rsidRPr="00EB61FA">
        <w:rPr>
          <w:b/>
          <w:bCs/>
          <w:lang w:val="ro-MD" w:eastAsia="ro-MD"/>
        </w:rPr>
        <w:t xml:space="preserve">. </w:t>
      </w:r>
      <w:r w:rsidRPr="00EB61FA">
        <w:rPr>
          <w:lang w:val="ro-MD" w:eastAsia="ro-MD"/>
        </w:rPr>
        <w:t xml:space="preserve">Termenul „măsură de restructurare </w:t>
      </w:r>
      <w:r w:rsidR="00297800" w:rsidRPr="00297800">
        <w:rPr>
          <w:lang w:val="ro-MD" w:eastAsia="ro-MD"/>
        </w:rPr>
        <w:t xml:space="preserve">din cauza </w:t>
      </w:r>
      <w:r w:rsidRPr="00EB61FA">
        <w:rPr>
          <w:lang w:val="ro-MD" w:eastAsia="ro-MD"/>
        </w:rPr>
        <w:t>dificultăților financiare” reprezintă o concesie acordată de o bancă unui debitor care se confruntă sau este susceptibil să se confrunte cu dificultăți în îndeplinirea angajamentelor sale financiare. O concesie poate duce la o pierdere pentru creditor și se referă la una dintre următoarele acțiuni:</w:t>
      </w:r>
    </w:p>
    <w:p w14:paraId="5459BBBE" w14:textId="77777777" w:rsidR="00EB61FA" w:rsidRPr="00EB61FA" w:rsidRDefault="00EB61FA" w:rsidP="0016632B">
      <w:pPr>
        <w:jc w:val="both"/>
        <w:rPr>
          <w:lang w:val="ro-MD" w:eastAsia="ro-MD"/>
        </w:rPr>
      </w:pPr>
      <w:r w:rsidRPr="00EB61FA">
        <w:rPr>
          <w:lang w:val="ro-MD" w:eastAsia="ro-MD"/>
        </w:rPr>
        <w:t>1) o modificare a clauzelor și condițiilor aferente unei datorii contractate, în cazul în care o astfel de modificare nu ar fi fost acordată dacă debitorul nu s-ar fi confruntat cu dificultăți în îndeplinirea angajamentelor sale financiare;</w:t>
      </w:r>
    </w:p>
    <w:p w14:paraId="11844995" w14:textId="07F75B06" w:rsidR="00EB61FA" w:rsidRPr="00EB61FA" w:rsidRDefault="00EB61FA" w:rsidP="0016632B">
      <w:pPr>
        <w:jc w:val="both"/>
        <w:rPr>
          <w:lang w:val="ro-MD" w:eastAsia="ro-MD"/>
        </w:rPr>
      </w:pPr>
      <w:r w:rsidRPr="00EB61FA">
        <w:rPr>
          <w:lang w:val="ro-MD" w:eastAsia="ro-MD"/>
        </w:rPr>
        <w:t>2) o refinanțare totală sau parțială a unei datorii contractate, în cazul în care o astfel de refinanțare nu ar fi fost acordată dacă debitorul nu s-ar fi confruntat cu dificultăți în îndeplinirea angajamentelor sale financiare.</w:t>
      </w:r>
    </w:p>
    <w:p w14:paraId="1B079FA4" w14:textId="43EDDA76"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14</w:t>
      </w:r>
      <w:r w:rsidRPr="00EB61FA">
        <w:rPr>
          <w:b/>
          <w:bCs/>
          <w:lang w:val="ro-MD" w:eastAsia="ro-MD"/>
        </w:rPr>
        <w:t xml:space="preserve">. </w:t>
      </w:r>
      <w:r w:rsidRPr="00EB61FA">
        <w:rPr>
          <w:lang w:val="ro-MD" w:eastAsia="ro-MD"/>
        </w:rPr>
        <w:t xml:space="preserve">Cel puțin următoarele situații sunt considerate a fi măsuri de restructurare </w:t>
      </w:r>
      <w:r w:rsidR="00FB60D6" w:rsidRPr="00FB60D6">
        <w:rPr>
          <w:lang w:val="ro-MD" w:eastAsia="ro-MD"/>
        </w:rPr>
        <w:t>din cauza</w:t>
      </w:r>
      <w:r w:rsidR="00B12957">
        <w:rPr>
          <w:lang w:val="ro-MD" w:eastAsia="ro-MD"/>
        </w:rPr>
        <w:t xml:space="preserve"> </w:t>
      </w:r>
      <w:r w:rsidRPr="00EB61FA">
        <w:rPr>
          <w:lang w:val="ro-MD" w:eastAsia="ro-MD"/>
        </w:rPr>
        <w:t>dificultăților financiare:</w:t>
      </w:r>
    </w:p>
    <w:p w14:paraId="0E840723" w14:textId="77777777" w:rsidR="00EB61FA" w:rsidRPr="00EB61FA" w:rsidRDefault="00EB61FA" w:rsidP="0016632B">
      <w:pPr>
        <w:jc w:val="both"/>
        <w:rPr>
          <w:lang w:val="ro-MD" w:eastAsia="ro-MD"/>
        </w:rPr>
      </w:pPr>
      <w:r w:rsidRPr="00EB61FA">
        <w:rPr>
          <w:lang w:val="ro-MD" w:eastAsia="ro-MD"/>
        </w:rPr>
        <w:t>1) noile condiții contractuale sunt mai favorabile pentru debitor decât condițiile contractuale anterioare, în cazul în care debitorul se confruntă sau este susceptibil să se confrunte cu dificultăți în îndeplinirea angajamentelor sale financiare;</w:t>
      </w:r>
    </w:p>
    <w:p w14:paraId="7A1271CC" w14:textId="77777777" w:rsidR="00EB61FA" w:rsidRPr="00EB61FA" w:rsidRDefault="00EB61FA" w:rsidP="0016632B">
      <w:pPr>
        <w:jc w:val="both"/>
        <w:rPr>
          <w:lang w:val="ro-MD" w:eastAsia="ro-MD"/>
        </w:rPr>
      </w:pPr>
      <w:r w:rsidRPr="00EB61FA">
        <w:rPr>
          <w:lang w:val="ro-MD" w:eastAsia="ro-MD"/>
        </w:rPr>
        <w:t>2) noile condiții contractuale sunt mai favorabile pentru debitor decât condițiile contractuale oferite de bancă debitorilor cu un profil de risc similar la momentul respectiv, în cazul în care debitorul se confruntă sau este susceptibil să se confrunte cu dificultăți în îndeplinirea angajamentelor sale financiare;</w:t>
      </w:r>
    </w:p>
    <w:p w14:paraId="30A4A622" w14:textId="77777777" w:rsidR="00EB61FA" w:rsidRPr="00EB61FA" w:rsidRDefault="00EB61FA" w:rsidP="0016632B">
      <w:pPr>
        <w:jc w:val="both"/>
        <w:rPr>
          <w:lang w:val="ro-MD" w:eastAsia="ro-MD"/>
        </w:rPr>
      </w:pPr>
      <w:r w:rsidRPr="00EB61FA">
        <w:rPr>
          <w:lang w:val="ro-MD" w:eastAsia="ro-MD"/>
        </w:rPr>
        <w:t>3) în conformitate cu condițiile contractuale inițiale, expunerea a fost clasificată drept neperformantă înainte de modificarea condițiilor contractuale sau ar fi fost considerată neperformantă dacă nu s-ar fi modificat condițiile contractuale;</w:t>
      </w:r>
    </w:p>
    <w:p w14:paraId="3786261E" w14:textId="77777777" w:rsidR="00EB61FA" w:rsidRPr="00EB61FA" w:rsidRDefault="00EB61FA" w:rsidP="0016632B">
      <w:pPr>
        <w:jc w:val="both"/>
        <w:rPr>
          <w:lang w:val="ro-MD" w:eastAsia="ro-MD"/>
        </w:rPr>
      </w:pPr>
      <w:r w:rsidRPr="00EB61FA">
        <w:rPr>
          <w:lang w:val="ro-MD" w:eastAsia="ro-MD"/>
        </w:rPr>
        <w:t>4) măsura are drept rezultat anularea totală sau parțială a datoriei contractate;</w:t>
      </w:r>
    </w:p>
    <w:p w14:paraId="3071167B" w14:textId="77777777" w:rsidR="00EB61FA" w:rsidRPr="00EB61FA" w:rsidRDefault="00EB61FA" w:rsidP="0016632B">
      <w:pPr>
        <w:jc w:val="both"/>
        <w:rPr>
          <w:lang w:val="ro-MD" w:eastAsia="ro-MD"/>
        </w:rPr>
      </w:pPr>
      <w:r w:rsidRPr="00EB61FA">
        <w:rPr>
          <w:lang w:val="ro-MD" w:eastAsia="ro-MD"/>
        </w:rPr>
        <w:t>5) banca aprobă exercitarea unor clauze care permit debitorului să modifice condițiile contractuale, iar expunerea a fost clasificată drept neperformantă înainte de exercitarea acestor clauze sau ar fi clasificată drept neperformantă dacă aceste clauze nu ar fi exercitate;</w:t>
      </w:r>
    </w:p>
    <w:p w14:paraId="7D782E64" w14:textId="77777777" w:rsidR="00EB61FA" w:rsidRPr="00EB61FA" w:rsidRDefault="00EB61FA" w:rsidP="0016632B">
      <w:pPr>
        <w:jc w:val="both"/>
        <w:rPr>
          <w:lang w:val="ro-MD" w:eastAsia="ro-MD"/>
        </w:rPr>
      </w:pPr>
      <w:r w:rsidRPr="00EB61FA">
        <w:rPr>
          <w:lang w:val="ro-MD" w:eastAsia="ro-MD"/>
        </w:rPr>
        <w:t>6) la momentul acordării creditului sau într-un moment apropiat în timp de acordarea creditului, debitorul a efectuat plăți ale principalului sau ale dobânzilor pentru un alt credit contractat de la aceeași bancă, care a fost clasificat drept expunere neperformantă sau ar fi fost clasificat drept expunere neperformantă dacă nu s-ar fi efectuat plățile respective;</w:t>
      </w:r>
    </w:p>
    <w:p w14:paraId="0698BE00" w14:textId="7941C3AB" w:rsidR="00EB61FA" w:rsidRPr="00EB61FA" w:rsidRDefault="00EB61FA" w:rsidP="0016632B">
      <w:pPr>
        <w:jc w:val="both"/>
        <w:rPr>
          <w:lang w:val="ro-MD" w:eastAsia="ro-MD"/>
        </w:rPr>
      </w:pPr>
      <w:r w:rsidRPr="00EB61FA">
        <w:rPr>
          <w:lang w:val="ro-MD" w:eastAsia="ro-MD"/>
        </w:rPr>
        <w:t>7) modificarea condițiilor contractuale implică rambursări efectuate prin intrarea în posesia garanțiilor reale, în cazul în care această modificare reprezintă o concesie.</w:t>
      </w:r>
    </w:p>
    <w:p w14:paraId="2CBDA94B" w14:textId="16E2AFB2"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15</w:t>
      </w:r>
      <w:r w:rsidRPr="00EB61FA">
        <w:rPr>
          <w:b/>
          <w:bCs/>
          <w:lang w:val="ro-MD" w:eastAsia="ro-MD"/>
        </w:rPr>
        <w:t xml:space="preserve">. </w:t>
      </w:r>
      <w:r w:rsidRPr="00EB61FA">
        <w:rPr>
          <w:lang w:val="ro-MD" w:eastAsia="ro-MD"/>
        </w:rPr>
        <w:t xml:space="preserve">Următoarele circumstanțe indică faptul că este posibil să se fi adoptat măsuri de restructurare </w:t>
      </w:r>
      <w:r w:rsidR="00FF37F5" w:rsidRPr="00FF37F5">
        <w:rPr>
          <w:lang w:val="ro-MD" w:eastAsia="ro-MD"/>
        </w:rPr>
        <w:t>din cauza</w:t>
      </w:r>
      <w:r w:rsidRPr="00EB61FA">
        <w:rPr>
          <w:lang w:val="ro-MD" w:eastAsia="ro-MD"/>
        </w:rPr>
        <w:t xml:space="preserve"> dificultăților financiare:</w:t>
      </w:r>
    </w:p>
    <w:p w14:paraId="03146AEE" w14:textId="77777777" w:rsidR="00EB61FA" w:rsidRPr="00EB61FA" w:rsidRDefault="00EB61FA" w:rsidP="0016632B">
      <w:pPr>
        <w:jc w:val="both"/>
        <w:rPr>
          <w:lang w:val="ro-MD" w:eastAsia="ro-MD"/>
        </w:rPr>
      </w:pPr>
      <w:r w:rsidRPr="00EB61FA">
        <w:rPr>
          <w:lang w:val="ro-MD" w:eastAsia="ro-MD"/>
        </w:rPr>
        <w:t>1) contractul inițial a fost restant cu peste 30 de zile cel puțin o dată în cursul celor trei luni anterioare modificării sale sau ar fi restant cu peste 30 de zile în lipsa modificării;</w:t>
      </w:r>
    </w:p>
    <w:p w14:paraId="4156E748" w14:textId="77777777" w:rsidR="00EB61FA" w:rsidRPr="00EB61FA" w:rsidRDefault="00EB61FA" w:rsidP="0016632B">
      <w:pPr>
        <w:jc w:val="both"/>
        <w:rPr>
          <w:lang w:val="ro-MD" w:eastAsia="ro-MD"/>
        </w:rPr>
      </w:pPr>
      <w:r w:rsidRPr="00EB61FA">
        <w:rPr>
          <w:lang w:val="ro-MD" w:eastAsia="ro-MD"/>
        </w:rPr>
        <w:lastRenderedPageBreak/>
        <w:t>2) la momentul încheierii contractului de credit sau într-un moment apropiat în timp de încheierea contractului de credit, debitorul a efectuat plăți ale principalului sau ale dobânzilor pentru un alt credit contractat de la aceeași banc</w:t>
      </w:r>
      <w:r w:rsidRPr="00EB61FA">
        <w:rPr>
          <w:lang w:val="ro-RO" w:eastAsia="ro-MD"/>
        </w:rPr>
        <w:t>ă</w:t>
      </w:r>
      <w:r w:rsidRPr="00EB61FA">
        <w:rPr>
          <w:lang w:val="ro-MD" w:eastAsia="ro-MD"/>
        </w:rPr>
        <w:t xml:space="preserve"> care a fost restant cu 30 de zile cel puțin o dată în cursul celor trei luni anterioare acordării noului credit;</w:t>
      </w:r>
    </w:p>
    <w:p w14:paraId="3DF37F30" w14:textId="10C82729" w:rsidR="00EB61FA" w:rsidRPr="00EB61FA" w:rsidRDefault="00EB61FA" w:rsidP="0016632B">
      <w:pPr>
        <w:jc w:val="both"/>
        <w:rPr>
          <w:lang w:val="ro-MD" w:eastAsia="ro-MD"/>
        </w:rPr>
      </w:pPr>
      <w:r w:rsidRPr="00EB61FA">
        <w:rPr>
          <w:lang w:val="ro-MD" w:eastAsia="ro-MD"/>
        </w:rPr>
        <w:t>3) banca aprobă exercitarea unor clauze care permit debitorului să modifice condițiile contractuale, iar expunerea este restantă cu 30 de zile sau ar fi restantă cu 30 de zile dacă aceste clauze nu ar fi exercitate.</w:t>
      </w:r>
    </w:p>
    <w:p w14:paraId="41633099" w14:textId="69931BF2" w:rsidR="00EB61FA" w:rsidRPr="00EB61FA" w:rsidRDefault="00EB61FA" w:rsidP="0016632B">
      <w:pPr>
        <w:jc w:val="both"/>
        <w:rPr>
          <w:sz w:val="18"/>
          <w:szCs w:val="18"/>
          <w:lang w:val="ro-MD" w:eastAsia="ro-MD"/>
        </w:rPr>
      </w:pPr>
      <w:r w:rsidRPr="00EB61FA">
        <w:rPr>
          <w:b/>
          <w:bCs/>
          <w:lang w:val="ro-MD" w:eastAsia="ro-MD"/>
        </w:rPr>
        <w:t>67</w:t>
      </w:r>
      <w:r w:rsidRPr="00EB61FA">
        <w:rPr>
          <w:b/>
          <w:bCs/>
          <w:vertAlign w:val="superscript"/>
          <w:lang w:val="ro-MD" w:eastAsia="ro-MD"/>
        </w:rPr>
        <w:t>16</w:t>
      </w:r>
      <w:r w:rsidRPr="00EB61FA">
        <w:rPr>
          <w:b/>
          <w:bCs/>
          <w:lang w:val="ro-MD" w:eastAsia="ro-MD"/>
        </w:rPr>
        <w:t xml:space="preserve">. </w:t>
      </w:r>
      <w:r w:rsidRPr="00EB61FA">
        <w:rPr>
          <w:lang w:val="ro-MD" w:eastAsia="ro-MD"/>
        </w:rPr>
        <w:t>În sensul punctelor 67</w:t>
      </w:r>
      <w:r w:rsidRPr="00EB61FA">
        <w:rPr>
          <w:vertAlign w:val="superscript"/>
          <w:lang w:val="ro-MD" w:eastAsia="ro-MD"/>
        </w:rPr>
        <w:t>13</w:t>
      </w:r>
      <w:r w:rsidRPr="00EB61FA">
        <w:rPr>
          <w:lang w:val="ro-MD" w:eastAsia="ro-MD"/>
        </w:rPr>
        <w:t>-67</w:t>
      </w:r>
      <w:r w:rsidRPr="00EB61FA">
        <w:rPr>
          <w:vertAlign w:val="superscript"/>
          <w:lang w:val="ro-MD" w:eastAsia="ro-MD"/>
        </w:rPr>
        <w:t>15</w:t>
      </w:r>
      <w:r w:rsidRPr="00EB61FA">
        <w:rPr>
          <w:lang w:val="ro-MD" w:eastAsia="ro-MD"/>
        </w:rPr>
        <w:t>, dificultățile cu care se confruntă un debitor în îndeplinirea angajamentelor sale financiare se evaluează la nivelul debitorului, ținând seama de toate entitățile juridice din grupul debitorului care sunt incluse în consolidarea contabilă a grupului și de toate persoanele fizice care controlează grupul respectiv.</w:t>
      </w:r>
    </w:p>
    <w:p w14:paraId="14E8EFE7" w14:textId="77777777" w:rsidR="00EB61FA" w:rsidRPr="00EB61FA" w:rsidRDefault="00EB61FA" w:rsidP="0016632B">
      <w:pPr>
        <w:ind w:firstLine="568"/>
        <w:jc w:val="center"/>
        <w:rPr>
          <w:lang w:val="ro-MD" w:eastAsia="ro-MD"/>
        </w:rPr>
      </w:pPr>
      <w:r w:rsidRPr="00EB61FA">
        <w:rPr>
          <w:b/>
          <w:bCs/>
          <w:i/>
          <w:iCs/>
          <w:lang w:val="ro-MD" w:eastAsia="ro-MD"/>
        </w:rPr>
        <w:t>Subsecțiunea 12</w:t>
      </w:r>
    </w:p>
    <w:p w14:paraId="47483BFF" w14:textId="77777777" w:rsidR="00EB61FA" w:rsidRPr="00EB61FA" w:rsidRDefault="00EB61FA" w:rsidP="0016632B">
      <w:pPr>
        <w:ind w:firstLine="568"/>
        <w:jc w:val="center"/>
        <w:rPr>
          <w:lang w:val="ro-MD" w:eastAsia="ro-MD"/>
        </w:rPr>
      </w:pPr>
      <w:r w:rsidRPr="00EB61FA">
        <w:rPr>
          <w:b/>
          <w:bCs/>
          <w:i/>
          <w:iCs/>
          <w:lang w:val="ro-MD" w:eastAsia="ro-MD"/>
        </w:rPr>
        <w:t>Deducerea pentru expunerile neperformante</w:t>
      </w:r>
    </w:p>
    <w:p w14:paraId="6156FCBB" w14:textId="117AF671"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17</w:t>
      </w:r>
      <w:r w:rsidRPr="00EB61FA">
        <w:rPr>
          <w:b/>
          <w:bCs/>
          <w:lang w:val="ro-MD" w:eastAsia="ro-MD"/>
        </w:rPr>
        <w:t xml:space="preserve">. </w:t>
      </w:r>
      <w:r w:rsidRPr="00EB61FA">
        <w:rPr>
          <w:lang w:val="ro-MD" w:eastAsia="ro-MD"/>
        </w:rPr>
        <w:t>În sensul punctului 30 subpunctul 12), băncile determină cuantumul aplicabil al acoperirii insuficiente, separat pentru fiecare expunere neperformantă, care urmează să fie dedus din elementele de fonduri proprii de nivel 1 de bază prin scăderea cuantumului determinat la subpunctul 2) din cuantumul determinat la subpunctul 1), în cazul în care cuantumul menționat la subpunctul 1) depășește cuantumul menționat la subpunctul 2):</w:t>
      </w:r>
    </w:p>
    <w:p w14:paraId="612A8971" w14:textId="77777777" w:rsidR="00EB61FA" w:rsidRPr="00EB61FA" w:rsidRDefault="00EB61FA" w:rsidP="0016632B">
      <w:pPr>
        <w:jc w:val="both"/>
        <w:rPr>
          <w:lang w:val="ro-MD" w:eastAsia="ro-MD"/>
        </w:rPr>
      </w:pPr>
      <w:r w:rsidRPr="00EB61FA">
        <w:rPr>
          <w:lang w:val="ro-MD" w:eastAsia="ro-MD"/>
        </w:rPr>
        <w:t>1) suma următoarelor elemente:</w:t>
      </w:r>
    </w:p>
    <w:p w14:paraId="37E7A964" w14:textId="77777777" w:rsidR="00EB61FA" w:rsidRPr="00EB61FA" w:rsidRDefault="00EB61FA" w:rsidP="0016632B">
      <w:pPr>
        <w:jc w:val="both"/>
        <w:rPr>
          <w:lang w:val="ro-MD" w:eastAsia="ro-MD"/>
        </w:rPr>
      </w:pPr>
      <w:r w:rsidRPr="00EB61FA">
        <w:rPr>
          <w:lang w:val="ro-MD" w:eastAsia="ro-MD"/>
        </w:rPr>
        <w:t>a) partea negarantată a fiecărei expuneri neperformante, dacă există, înmulțită cu factorul aplicabil menționat la punctul 67</w:t>
      </w:r>
      <w:r w:rsidRPr="00EB61FA">
        <w:rPr>
          <w:vertAlign w:val="superscript"/>
          <w:lang w:val="ro-MD" w:eastAsia="ro-MD"/>
        </w:rPr>
        <w:t>20</w:t>
      </w:r>
      <w:r w:rsidRPr="00EB61FA">
        <w:rPr>
          <w:lang w:val="ro-MD" w:eastAsia="ro-MD"/>
        </w:rPr>
        <w:t>;</w:t>
      </w:r>
    </w:p>
    <w:p w14:paraId="4D5A2609" w14:textId="77777777" w:rsidR="00EB61FA" w:rsidRPr="00EB61FA" w:rsidRDefault="00EB61FA" w:rsidP="0016632B">
      <w:pPr>
        <w:jc w:val="both"/>
        <w:rPr>
          <w:lang w:val="ro-MD" w:eastAsia="ro-MD"/>
        </w:rPr>
      </w:pPr>
      <w:r w:rsidRPr="00EB61FA">
        <w:rPr>
          <w:lang w:val="ro-MD" w:eastAsia="ro-MD"/>
        </w:rPr>
        <w:t>b) partea garantată a fiecărei expuneri neperformante, dacă există, înmulțită cu factorul aplicabil menționat la punctul 67</w:t>
      </w:r>
      <w:r w:rsidRPr="00EB61FA">
        <w:rPr>
          <w:vertAlign w:val="superscript"/>
          <w:lang w:val="ro-MD" w:eastAsia="ro-MD"/>
        </w:rPr>
        <w:t>21</w:t>
      </w:r>
      <w:r w:rsidRPr="00EB61FA">
        <w:rPr>
          <w:lang w:val="ro-MD" w:eastAsia="ro-MD"/>
        </w:rPr>
        <w:t>;</w:t>
      </w:r>
    </w:p>
    <w:p w14:paraId="167216C4" w14:textId="77777777" w:rsidR="00EB61FA" w:rsidRPr="00EB61FA" w:rsidRDefault="00EB61FA" w:rsidP="0016632B">
      <w:pPr>
        <w:jc w:val="both"/>
        <w:rPr>
          <w:lang w:val="ro-MD" w:eastAsia="ro-MD"/>
        </w:rPr>
      </w:pPr>
      <w:r w:rsidRPr="00EB61FA">
        <w:rPr>
          <w:lang w:val="ro-MD" w:eastAsia="ro-MD"/>
        </w:rPr>
        <w:t>2) suma următoarelor elemente, cu condiția ca acestea să se refere la aceeași expunere neperformantă:</w:t>
      </w:r>
    </w:p>
    <w:p w14:paraId="31E01B78" w14:textId="77777777" w:rsidR="00EB61FA" w:rsidRPr="00EB61FA" w:rsidRDefault="00EB61FA" w:rsidP="0016632B">
      <w:pPr>
        <w:jc w:val="both"/>
        <w:rPr>
          <w:lang w:val="ro-MD" w:eastAsia="ro-MD"/>
        </w:rPr>
      </w:pPr>
      <w:r w:rsidRPr="00EB61FA">
        <w:rPr>
          <w:lang w:val="ro-MD" w:eastAsia="ro-MD"/>
        </w:rPr>
        <w:t>a) ajustările specifice pentru riscul de credit;</w:t>
      </w:r>
    </w:p>
    <w:p w14:paraId="7D8AA242" w14:textId="77777777" w:rsidR="00EB61FA" w:rsidRPr="00EB61FA" w:rsidRDefault="00EB61FA" w:rsidP="0016632B">
      <w:pPr>
        <w:jc w:val="both"/>
        <w:rPr>
          <w:lang w:val="ro-MD" w:eastAsia="ro-MD"/>
        </w:rPr>
      </w:pPr>
      <w:r w:rsidRPr="00EB61FA">
        <w:rPr>
          <w:lang w:val="ro-MD" w:eastAsia="ro-MD"/>
        </w:rPr>
        <w:t>b) ajustările de valoare suplimentare în conformitate cu punctul 28;</w:t>
      </w:r>
    </w:p>
    <w:p w14:paraId="4A7FABBF" w14:textId="77777777" w:rsidR="00EB61FA" w:rsidRPr="00EB61FA" w:rsidRDefault="00EB61FA" w:rsidP="0016632B">
      <w:pPr>
        <w:jc w:val="both"/>
        <w:rPr>
          <w:lang w:val="ro-MD" w:eastAsia="ro-MD"/>
        </w:rPr>
      </w:pPr>
      <w:r w:rsidRPr="00EB61FA">
        <w:rPr>
          <w:lang w:val="ro-MD" w:eastAsia="ro-MD"/>
        </w:rPr>
        <w:t>c) alte reduceri ale fondurilor proprii;</w:t>
      </w:r>
    </w:p>
    <w:p w14:paraId="1EEC9C46" w14:textId="64D53B54" w:rsidR="00EB61FA" w:rsidRPr="00EB61FA" w:rsidRDefault="00EB61FA" w:rsidP="0016632B">
      <w:pPr>
        <w:jc w:val="both"/>
        <w:rPr>
          <w:lang w:val="ro-MD" w:eastAsia="ro-MD"/>
        </w:rPr>
      </w:pPr>
      <w:r w:rsidRPr="00EB61FA">
        <w:rPr>
          <w:lang w:val="ro-MD" w:eastAsia="ro-MD"/>
        </w:rPr>
        <w:t>d) pentru băncile care calculează cuantumurile ponderate la risc ale expunerilor prin utilizarea abordării bazate pe modele interne de rating, valoarea absolută a cuantumurilor deduse în temeiul punctului 30 subpunctul 3</w:t>
      </w:r>
      <w:r w:rsidRPr="00EB61FA">
        <w:rPr>
          <w:vertAlign w:val="superscript"/>
          <w:lang w:val="ro-MD" w:eastAsia="ro-MD"/>
        </w:rPr>
        <w:t>1</w:t>
      </w:r>
      <w:r w:rsidRPr="00EB61FA">
        <w:rPr>
          <w:lang w:val="ro-MD" w:eastAsia="ro-MD"/>
        </w:rPr>
        <w:t>), care se referă la expunerile neperformante, atunci când valoarea absolută atribuibilă fiecărei expuneri neperformante este determinată prin înmulțirea cuantumurilor deduse în temeiul punctului 30 subpunctul 3</w:t>
      </w:r>
      <w:r w:rsidRPr="00EB61FA">
        <w:rPr>
          <w:vertAlign w:val="superscript"/>
          <w:lang w:val="ro-MD" w:eastAsia="ro-MD"/>
        </w:rPr>
        <w:t>1</w:t>
      </w:r>
      <w:r w:rsidRPr="00EB61FA">
        <w:rPr>
          <w:lang w:val="ro-MD" w:eastAsia="ro-MD"/>
        </w:rPr>
        <w:t>) cu procentajul cuantumului pierderii așteptate pentru expunerea neperformantă din totalul cuantumurilor pierderilor așteptate pentru expunerile care se află în stare de nerambursare sau pentru expunerile care nu se află în stare de nerambursare, după caz;</w:t>
      </w:r>
    </w:p>
    <w:p w14:paraId="7633F3C1" w14:textId="77777777" w:rsidR="00EB61FA" w:rsidRPr="00EB61FA" w:rsidRDefault="00EB61FA" w:rsidP="0016632B">
      <w:pPr>
        <w:jc w:val="both"/>
        <w:rPr>
          <w:lang w:val="ro-MD" w:eastAsia="ro-MD"/>
        </w:rPr>
      </w:pPr>
      <w:r w:rsidRPr="00EB61FA">
        <w:rPr>
          <w:lang w:val="ro-MD" w:eastAsia="ro-MD"/>
        </w:rPr>
        <w:t>e) în cazul în care o expunere neperformantă a fost achiziționată la un preț mai mic decât suma datorată de debitor, diferența dintre prețul de cumpărare și suma datorată de debitor;</w:t>
      </w:r>
    </w:p>
    <w:p w14:paraId="421B3A82" w14:textId="185B1503" w:rsidR="00EB61FA" w:rsidRPr="00EB61FA" w:rsidRDefault="00EB61FA" w:rsidP="0016632B">
      <w:pPr>
        <w:jc w:val="both"/>
        <w:rPr>
          <w:lang w:val="ro-MD" w:eastAsia="ro-MD"/>
        </w:rPr>
      </w:pPr>
      <w:r w:rsidRPr="00EB61FA">
        <w:rPr>
          <w:lang w:val="ro-MD" w:eastAsia="ro-MD"/>
        </w:rPr>
        <w:t>f) sumele scoase în afara bilanțului de către bancă după ce expunerea a fost clasificată drept neperformantă.</w:t>
      </w:r>
    </w:p>
    <w:p w14:paraId="29A06FC2" w14:textId="57D07FB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18</w:t>
      </w:r>
      <w:r w:rsidRPr="00EB61FA">
        <w:rPr>
          <w:b/>
          <w:bCs/>
          <w:lang w:val="ro-MD" w:eastAsia="ro-MD"/>
        </w:rPr>
        <w:t xml:space="preserve">. </w:t>
      </w:r>
      <w:r w:rsidRPr="00EB61FA">
        <w:rPr>
          <w:lang w:val="ro-MD" w:eastAsia="ro-MD"/>
        </w:rPr>
        <w:t>Partea garantată a unei expuneri neperformante este acea parte din expunere care, în scopul calculării cerințelor de fonduri proprii în conformitate cu actele normative ale Băncii Naționale a Moldovei aferente tratamentului riscului de credit și tehnicilor de diminuare a riscului de credit, se consideră a fi acoperită de o protecție finanțată sau nefinanțată a creditului sau a fi garantată integral și pe deplin prin ipoteci.</w:t>
      </w:r>
    </w:p>
    <w:p w14:paraId="0AEC39D9" w14:textId="74C0827E"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19</w:t>
      </w:r>
      <w:r w:rsidRPr="00EB61FA">
        <w:rPr>
          <w:b/>
          <w:bCs/>
          <w:lang w:val="ro-MD" w:eastAsia="ro-MD"/>
        </w:rPr>
        <w:t xml:space="preserve">. </w:t>
      </w:r>
      <w:r w:rsidRPr="00EB61FA">
        <w:rPr>
          <w:lang w:val="ro-MD" w:eastAsia="ro-MD"/>
        </w:rPr>
        <w:t>Partea negarantată a unei expuneri neperformante corespunde diferenței, dacă există, dintre valoarea expunerii, astfel cum este menționată la punctul 67</w:t>
      </w:r>
      <w:r w:rsidRPr="00EB61FA">
        <w:rPr>
          <w:vertAlign w:val="superscript"/>
          <w:lang w:val="ro-MD" w:eastAsia="ro-MD"/>
        </w:rPr>
        <w:t>1</w:t>
      </w:r>
      <w:r w:rsidRPr="00EB61FA">
        <w:rPr>
          <w:lang w:val="ro-MD" w:eastAsia="ro-MD"/>
        </w:rPr>
        <w:t>, și partea garantată a expunerii, dacă există.</w:t>
      </w:r>
    </w:p>
    <w:p w14:paraId="2374018A" w14:textId="6351E439"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20</w:t>
      </w:r>
      <w:r w:rsidRPr="00EB61FA">
        <w:rPr>
          <w:b/>
          <w:bCs/>
          <w:lang w:val="ro-MD" w:eastAsia="ro-MD"/>
        </w:rPr>
        <w:t>.</w:t>
      </w:r>
      <w:r w:rsidRPr="00EB61FA">
        <w:rPr>
          <w:lang w:val="ro-MD" w:eastAsia="ro-MD"/>
        </w:rPr>
        <w:t xml:space="preserve"> În sensul punctului 67</w:t>
      </w:r>
      <w:r w:rsidRPr="00EB61FA">
        <w:rPr>
          <w:vertAlign w:val="superscript"/>
          <w:lang w:val="ro-MD" w:eastAsia="ro-MD"/>
        </w:rPr>
        <w:t>17</w:t>
      </w:r>
      <w:r w:rsidRPr="00EB61FA">
        <w:rPr>
          <w:lang w:val="ro-MD" w:eastAsia="ro-MD"/>
        </w:rPr>
        <w:t xml:space="preserve"> subpunctul 1) litera a), se aplică următorii factori:</w:t>
      </w:r>
    </w:p>
    <w:p w14:paraId="346BDE74" w14:textId="77777777" w:rsidR="00EB61FA" w:rsidRPr="00EB61FA" w:rsidRDefault="00EB61FA" w:rsidP="0016632B">
      <w:pPr>
        <w:jc w:val="both"/>
        <w:rPr>
          <w:lang w:val="ro-MD" w:eastAsia="ro-MD"/>
        </w:rPr>
      </w:pPr>
      <w:r w:rsidRPr="00EB61FA">
        <w:rPr>
          <w:lang w:val="ro-MD" w:eastAsia="ro-MD"/>
        </w:rPr>
        <w:lastRenderedPageBreak/>
        <w:t>1) 0,35 pentru partea negarantată a unei expuneri neperformante – se aplică pe parcursul perioadei cuprinse între prima și ultima zi a celui de al treilea an după clasificarea expunerii drept neperformantă;</w:t>
      </w:r>
    </w:p>
    <w:p w14:paraId="2941E162" w14:textId="34FD67EA" w:rsidR="00EB61FA" w:rsidRPr="00EB61FA" w:rsidRDefault="00EB61FA" w:rsidP="0016632B">
      <w:pPr>
        <w:jc w:val="both"/>
        <w:rPr>
          <w:lang w:val="ro-MD" w:eastAsia="ro-MD"/>
        </w:rPr>
      </w:pPr>
      <w:r w:rsidRPr="00EB61FA">
        <w:rPr>
          <w:lang w:val="ro-MD" w:eastAsia="ro-MD"/>
        </w:rPr>
        <w:t>2) 1 pentru partea negarantată a unei expuneri neperformante – se aplică începând din prima zi a celui de al patrulea an după clasificarea expunerii drept neperformantă.</w:t>
      </w:r>
      <w:r w:rsidRPr="00EB61FA">
        <w:rPr>
          <w:sz w:val="18"/>
          <w:szCs w:val="18"/>
          <w:highlight w:val="lightGray"/>
          <w:lang w:val="ro-MD" w:eastAsia="ro-MD"/>
        </w:rPr>
        <w:t xml:space="preserve"> </w:t>
      </w:r>
    </w:p>
    <w:p w14:paraId="5F702CE3" w14:textId="57AD4F53"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21</w:t>
      </w:r>
      <w:r w:rsidRPr="00EB61FA">
        <w:rPr>
          <w:b/>
          <w:bCs/>
          <w:lang w:val="ro-MD" w:eastAsia="ro-MD"/>
        </w:rPr>
        <w:t>.</w:t>
      </w:r>
      <w:r w:rsidRPr="00EB61FA">
        <w:rPr>
          <w:lang w:val="ro-MD" w:eastAsia="ro-MD"/>
        </w:rPr>
        <w:t xml:space="preserve"> În scopul punctului 67</w:t>
      </w:r>
      <w:r w:rsidRPr="00EB61FA">
        <w:rPr>
          <w:vertAlign w:val="superscript"/>
          <w:lang w:val="ro-MD" w:eastAsia="ro-MD"/>
        </w:rPr>
        <w:t>17</w:t>
      </w:r>
      <w:r w:rsidRPr="00EB61FA">
        <w:rPr>
          <w:lang w:val="ro-MD" w:eastAsia="ro-MD"/>
        </w:rPr>
        <w:t xml:space="preserve"> subpunctul 1) litera b), se aplică următorii factori:</w:t>
      </w:r>
    </w:p>
    <w:p w14:paraId="6D76FAD2" w14:textId="77777777" w:rsidR="00EB61FA" w:rsidRPr="00EB61FA" w:rsidRDefault="00EB61FA" w:rsidP="0016632B">
      <w:pPr>
        <w:jc w:val="both"/>
        <w:rPr>
          <w:lang w:val="ro-MD" w:eastAsia="ro-MD"/>
        </w:rPr>
      </w:pPr>
      <w:r w:rsidRPr="00EB61FA">
        <w:rPr>
          <w:lang w:val="ro-MD" w:eastAsia="ro-MD"/>
        </w:rPr>
        <w:t>1) 0,25 pentru partea garantată a unei expuneri neperformante – se aplică pe parcursul perioadei cuprinse între prima și ultima zi a celui de al patrulea an după clasificarea expunerii drept neperformantă;</w:t>
      </w:r>
    </w:p>
    <w:p w14:paraId="08813BE2" w14:textId="77777777" w:rsidR="00EB61FA" w:rsidRPr="00EB61FA" w:rsidRDefault="00EB61FA" w:rsidP="0016632B">
      <w:pPr>
        <w:jc w:val="both"/>
        <w:rPr>
          <w:lang w:val="ro-MD" w:eastAsia="ro-MD"/>
        </w:rPr>
      </w:pPr>
      <w:r w:rsidRPr="00EB61FA">
        <w:rPr>
          <w:lang w:val="ro-MD" w:eastAsia="ro-MD"/>
        </w:rPr>
        <w:t>2) 0,35 pentru partea garantată a unei expuneri neperformante – se aplică pe parcursul perioadei cuprinse între prima și ultima zi a celui de al cincilea an după clasificarea expunerii drept neperformantă;</w:t>
      </w:r>
    </w:p>
    <w:p w14:paraId="60E30EAA" w14:textId="77777777" w:rsidR="00EB61FA" w:rsidRPr="00EB61FA" w:rsidRDefault="00EB61FA" w:rsidP="0016632B">
      <w:pPr>
        <w:jc w:val="both"/>
        <w:rPr>
          <w:lang w:val="ro-MD" w:eastAsia="ro-MD"/>
        </w:rPr>
      </w:pPr>
      <w:r w:rsidRPr="00EB61FA">
        <w:rPr>
          <w:lang w:val="ro-MD" w:eastAsia="ro-MD"/>
        </w:rPr>
        <w:t>3) 0,55 pentru partea garantată a unei expuneri neperformante – se aplică pe parcursul perioadei cuprinse între prima și ultima zi a celui de al șaselea an după clasificarea expunerii drept neperformantă;</w:t>
      </w:r>
    </w:p>
    <w:p w14:paraId="01B66721" w14:textId="6774BEB8" w:rsidR="00EB61FA" w:rsidRPr="00EB61FA" w:rsidRDefault="00EB61FA" w:rsidP="0016632B">
      <w:pPr>
        <w:jc w:val="both"/>
        <w:rPr>
          <w:lang w:val="ro-MD" w:eastAsia="ro-MD"/>
        </w:rPr>
      </w:pPr>
      <w:r w:rsidRPr="00EB61FA">
        <w:rPr>
          <w:lang w:val="ro-MD" w:eastAsia="ro-MD"/>
        </w:rPr>
        <w:t xml:space="preserve">4) 0,70 pentru partea unei expuneri neperformante garantate cu bunuri imobile în temeiul actelor normative ale Băncii Naționale a Moldovei aferente tratamentului riscului de credit și tehnicilor de diminuare a riscului de credit sau care este un împrumut locativ garantat de către un furnizor de protecție eligibil astfel cum se menționează punctul 36 din </w:t>
      </w:r>
      <w:r w:rsidR="000D4A6D" w:rsidRPr="000D4A6D">
        <w:rPr>
          <w:lang w:val="ro-MD" w:eastAsia="ro-MD"/>
        </w:rPr>
        <w:t>Regulamentul cu privire la tehnicile de diminuare a riscului de credit utilizate de bănci, aprobat prin Hotărârea Comitetului executiv al Băncii Naționale a Moldovei nr. 112/2018 (în continuare –</w:t>
      </w:r>
      <w:r w:rsidR="000D4A6D">
        <w:rPr>
          <w:lang w:val="ro-MD" w:eastAsia="ro-MD"/>
        </w:rPr>
        <w:t xml:space="preserve"> </w:t>
      </w:r>
      <w:r w:rsidR="000D4A6D" w:rsidRPr="00EB61FA">
        <w:rPr>
          <w:lang w:val="ro-MD" w:eastAsia="ro-MD"/>
        </w:rPr>
        <w:t xml:space="preserve">Regulamentul </w:t>
      </w:r>
      <w:r w:rsidRPr="00EB61FA">
        <w:rPr>
          <w:lang w:val="ro-MD" w:eastAsia="ro-MD"/>
        </w:rPr>
        <w:t>nr.112/2018</w:t>
      </w:r>
      <w:r w:rsidR="000D4A6D">
        <w:rPr>
          <w:lang w:val="ro-MD" w:eastAsia="ro-MD"/>
        </w:rPr>
        <w:t>)</w:t>
      </w:r>
      <w:r w:rsidRPr="00EB61FA">
        <w:rPr>
          <w:lang w:val="ro-MD" w:eastAsia="ro-MD"/>
        </w:rPr>
        <w:t xml:space="preserve"> – se aplică pe parcursul perioadei cuprinse între prima și ultima zi a celui de al șaptelea an după clasificarea expunerii drept neperformantă;</w:t>
      </w:r>
    </w:p>
    <w:p w14:paraId="4D9F0885" w14:textId="76021E11" w:rsidR="00EB61FA" w:rsidRPr="00EB61FA" w:rsidRDefault="00EB61FA" w:rsidP="0016632B">
      <w:pPr>
        <w:jc w:val="both"/>
        <w:rPr>
          <w:lang w:val="ro-MD" w:eastAsia="ro-MD"/>
        </w:rPr>
      </w:pPr>
      <w:r w:rsidRPr="00EB61FA">
        <w:rPr>
          <w:lang w:val="ro-MD" w:eastAsia="ro-MD"/>
        </w:rPr>
        <w:t>5) 0,80 pentru partea unei expuneri neperformante garantate printr-o altă protecție finanțată sau nefinanțată a creditului în temeiul actelor normative ale Băncii Naționale a Moldovei aferente tratamentului riscului de credit – se aplică pe parcursul perioadei cuprinse între prima și ultima zi a celui de al șaptelea an după clasificarea expunerii drept neperformantă;</w:t>
      </w:r>
    </w:p>
    <w:p w14:paraId="6916C49C" w14:textId="73795AD3" w:rsidR="00EB61FA" w:rsidRPr="00EB61FA" w:rsidRDefault="00EB61FA" w:rsidP="0016632B">
      <w:pPr>
        <w:jc w:val="both"/>
        <w:rPr>
          <w:lang w:val="ro-MD" w:eastAsia="ro-MD"/>
        </w:rPr>
      </w:pPr>
      <w:r w:rsidRPr="00EB61FA">
        <w:rPr>
          <w:lang w:val="ro-MD" w:eastAsia="ro-MD"/>
        </w:rPr>
        <w:t>6) 0,80 pentru partea unei expuneri neperformante garantate cu bunuri imobile în temeiul actelor normative ale Băncii Naționale a Moldovei aferente tratamentului riscului de credit și tehnicilor de diminuare a riscului de credit sau care este un împrumut locativ garantat de către un furnizor de protecție eligibil menționat la punctul 36 din regulamentul nr.112/2018 – se aplică pe parcursul perioadei cuprinse între prima și ultima zi a celui de al optulea an după clasificarea expunerii drept neperformantă;</w:t>
      </w:r>
    </w:p>
    <w:p w14:paraId="298193E7" w14:textId="6AFE999D" w:rsidR="00EB61FA" w:rsidRPr="00EB61FA" w:rsidRDefault="00EB61FA" w:rsidP="0016632B">
      <w:pPr>
        <w:jc w:val="both"/>
        <w:rPr>
          <w:lang w:val="ro-MD" w:eastAsia="ro-MD"/>
        </w:rPr>
      </w:pPr>
      <w:r w:rsidRPr="00EB61FA">
        <w:rPr>
          <w:lang w:val="ro-MD" w:eastAsia="ro-MD"/>
        </w:rPr>
        <w:t xml:space="preserve">7) </w:t>
      </w:r>
      <w:r w:rsidRPr="0016632B">
        <w:rPr>
          <w:lang w:val="ro-MD" w:eastAsia="ro-MD"/>
        </w:rPr>
        <w:t>1 pentru partea</w:t>
      </w:r>
      <w:r w:rsidRPr="00EB61FA">
        <w:rPr>
          <w:lang w:val="ro-MD" w:eastAsia="ro-MD"/>
        </w:rPr>
        <w:t xml:space="preserve"> unei expuneri neperformante garantate printr-o altă protecție finanțată sau nefinanțată a creditului în temeiul actelor normative ale Băncii Naționale a Moldovei aferente tratamentului riscului de credit și tehnicilor de diminuare a riscului de credit – se aplică începând cu prima zi a celui de al optulea an după clasificarea expunerii drept neperformantă;</w:t>
      </w:r>
    </w:p>
    <w:p w14:paraId="6B13C8BA" w14:textId="74E09793" w:rsidR="00EB61FA" w:rsidRPr="00EB61FA" w:rsidRDefault="00EB61FA" w:rsidP="0016632B">
      <w:pPr>
        <w:jc w:val="both"/>
        <w:rPr>
          <w:lang w:val="ro-MD" w:eastAsia="ro-MD"/>
        </w:rPr>
      </w:pPr>
      <w:r w:rsidRPr="00EB61FA">
        <w:rPr>
          <w:lang w:val="ro-MD" w:eastAsia="ro-MD"/>
        </w:rPr>
        <w:t xml:space="preserve">8) 0,85 pentru partea unei expuneri neperformante garantate cu bunuri imobile </w:t>
      </w:r>
      <w:r w:rsidRPr="002812ED">
        <w:rPr>
          <w:lang w:val="ro-MD" w:eastAsia="ro-MD"/>
        </w:rPr>
        <w:t>în temeiul actelor normative ale Băncii Naționale a Moldovei aferente tratamentului riscului de credit și tehnicilor de diminuare a riscului de credit</w:t>
      </w:r>
      <w:r w:rsidRPr="00EB61FA">
        <w:rPr>
          <w:lang w:val="ro-MD" w:eastAsia="ro-MD"/>
        </w:rPr>
        <w:t xml:space="preserve"> sau care este un împrumut locativ garantat de către un furnizor de protecție eligibil menționat la punctul 36 din regulamentul nr.112/2018 – se aplică pe parcursul perioadei cuprinse între prima și ultima zi a celui de al nouălea an după clasificarea expunerii drept neperformantă;</w:t>
      </w:r>
    </w:p>
    <w:p w14:paraId="7108702B" w14:textId="66B7D1E3" w:rsidR="00EB61FA" w:rsidRPr="00EB61FA" w:rsidRDefault="00EB61FA" w:rsidP="0016632B">
      <w:pPr>
        <w:jc w:val="both"/>
        <w:rPr>
          <w:lang w:val="ro-MD" w:eastAsia="ro-MD"/>
        </w:rPr>
      </w:pPr>
      <w:r w:rsidRPr="00EB61FA">
        <w:rPr>
          <w:lang w:val="ro-MD" w:eastAsia="ro-MD"/>
        </w:rPr>
        <w:t xml:space="preserve">9) </w:t>
      </w:r>
      <w:r w:rsidRPr="002F4BA7">
        <w:rPr>
          <w:lang w:val="ro-MD" w:eastAsia="ro-MD"/>
        </w:rPr>
        <w:t>1 pentru partea</w:t>
      </w:r>
      <w:r w:rsidRPr="00EB61FA">
        <w:rPr>
          <w:lang w:val="ro-MD" w:eastAsia="ro-MD"/>
        </w:rPr>
        <w:t xml:space="preserve"> unei expuneri neperformante garantate cu bunuri imobile în temeiul actelor </w:t>
      </w:r>
      <w:r w:rsidRPr="002812ED">
        <w:rPr>
          <w:lang w:val="ro-MD" w:eastAsia="ro-MD"/>
        </w:rPr>
        <w:t>normative ale Băncii Naționale a Moldovei aferente tratamentului riscului de credit și tehnicilor de diminuare a riscului de credit</w:t>
      </w:r>
      <w:r w:rsidRPr="00EB61FA">
        <w:rPr>
          <w:lang w:val="ro-MD" w:eastAsia="ro-MD"/>
        </w:rPr>
        <w:t xml:space="preserve"> sau care este un împrumut locativ garantat de către un furnizor de protecție eligibil astfel cum se menționează la punctul 36 din regulamentul nr.112/2018 – se aplică începând cu prima zi a celui de al zecelea an după clasificarea expunerii drept neperformantă.</w:t>
      </w:r>
      <w:r w:rsidRPr="00EB61FA">
        <w:rPr>
          <w:sz w:val="18"/>
          <w:szCs w:val="18"/>
          <w:highlight w:val="lightGray"/>
          <w:lang w:val="ro-MD" w:eastAsia="ro-MD"/>
        </w:rPr>
        <w:t xml:space="preserve"> </w:t>
      </w:r>
    </w:p>
    <w:p w14:paraId="6BC41156" w14:textId="76BFF3F9" w:rsidR="00EB61FA" w:rsidRPr="00EB61FA" w:rsidRDefault="00EB61FA" w:rsidP="0016632B">
      <w:pPr>
        <w:jc w:val="both"/>
        <w:rPr>
          <w:lang w:val="ro-MD" w:eastAsia="ro-MD"/>
        </w:rPr>
      </w:pPr>
      <w:r w:rsidRPr="00EB61FA">
        <w:rPr>
          <w:b/>
          <w:bCs/>
          <w:lang w:val="ro-MD" w:eastAsia="ro-MD"/>
        </w:rPr>
        <w:lastRenderedPageBreak/>
        <w:t>67</w:t>
      </w:r>
      <w:r w:rsidRPr="00EB61FA">
        <w:rPr>
          <w:b/>
          <w:bCs/>
          <w:vertAlign w:val="superscript"/>
          <w:lang w:val="ro-MD" w:eastAsia="ro-MD"/>
        </w:rPr>
        <w:t>22</w:t>
      </w:r>
      <w:r w:rsidRPr="00EB61FA">
        <w:rPr>
          <w:b/>
          <w:bCs/>
          <w:lang w:val="ro-MD" w:eastAsia="ro-MD"/>
        </w:rPr>
        <w:t>.</w:t>
      </w:r>
      <w:r w:rsidRPr="00EB61FA">
        <w:rPr>
          <w:lang w:val="ro-MD" w:eastAsia="ro-MD"/>
        </w:rPr>
        <w:t xml:space="preserve"> Prin derogare de la punctul 67</w:t>
      </w:r>
      <w:r w:rsidRPr="00EB61FA">
        <w:rPr>
          <w:vertAlign w:val="superscript"/>
          <w:lang w:val="ro-MD" w:eastAsia="ro-MD"/>
        </w:rPr>
        <w:t>21</w:t>
      </w:r>
      <w:r w:rsidRPr="00EB61FA">
        <w:rPr>
          <w:lang w:val="ro-MD" w:eastAsia="ro-MD"/>
        </w:rPr>
        <w:t xml:space="preserve">, următorii factori se aplică părții din expunerea neperformantă garantată sau </w:t>
      </w:r>
      <w:proofErr w:type="spellStart"/>
      <w:r w:rsidRPr="00EB61FA">
        <w:rPr>
          <w:lang w:val="ro-MD" w:eastAsia="ro-MD"/>
        </w:rPr>
        <w:t>contragarantată</w:t>
      </w:r>
      <w:proofErr w:type="spellEnd"/>
      <w:r w:rsidRPr="00EB61FA">
        <w:rPr>
          <w:lang w:val="ro-MD" w:eastAsia="ro-MD"/>
        </w:rPr>
        <w:t xml:space="preserve"> de un furnizor de protecție eligibil menționat la punctul 36, subpunctele 1)-2) din </w:t>
      </w:r>
      <w:r w:rsidR="00A929BC" w:rsidRPr="00EB61FA">
        <w:rPr>
          <w:lang w:val="ro-MD" w:eastAsia="ro-MD"/>
        </w:rPr>
        <w:t xml:space="preserve">Regulamentul </w:t>
      </w:r>
      <w:r w:rsidRPr="00EB61FA">
        <w:rPr>
          <w:lang w:val="ro-MD" w:eastAsia="ro-MD"/>
        </w:rPr>
        <w:t>nr.112/2018, expuneri negarantate care ar primi o pondere de risc de 0% în temeiul Regulamentului nr.111/2018:</w:t>
      </w:r>
    </w:p>
    <w:p w14:paraId="5BDA09D9" w14:textId="77777777" w:rsidR="00EB61FA" w:rsidRPr="00EB61FA" w:rsidRDefault="00EB61FA" w:rsidP="0016632B">
      <w:pPr>
        <w:jc w:val="both"/>
        <w:rPr>
          <w:lang w:val="ro-MD" w:eastAsia="ro-MD"/>
        </w:rPr>
      </w:pPr>
      <w:r w:rsidRPr="00EB61FA">
        <w:rPr>
          <w:lang w:val="ro-MD" w:eastAsia="ro-MD"/>
        </w:rPr>
        <w:t>1) 0 pentru partea garantată a expunerii neperformante – se aplică pe parcursul perioadei cuprinse între un an și șapte ani după clasificarea expunerii drept neperformantă; și</w:t>
      </w:r>
    </w:p>
    <w:p w14:paraId="56B8C28A" w14:textId="3FA6F81B" w:rsidR="00EB61FA" w:rsidRPr="00EB61FA" w:rsidRDefault="0016632B" w:rsidP="0016632B">
      <w:pPr>
        <w:jc w:val="both"/>
        <w:rPr>
          <w:lang w:val="ro-MD" w:eastAsia="ro-MD"/>
        </w:rPr>
      </w:pPr>
      <w:r>
        <w:rPr>
          <w:lang w:val="ro-MD" w:eastAsia="ro-MD"/>
        </w:rPr>
        <w:t>2</w:t>
      </w:r>
      <w:r w:rsidR="00EB61FA" w:rsidRPr="00EB61FA">
        <w:rPr>
          <w:lang w:val="ro-MD" w:eastAsia="ro-MD"/>
        </w:rPr>
        <w:t>) 1 pentru partea garantată a expunerii neperformante, care se aplică începând din prima zi a celui de al optulea an după clasificarea expunerii drept neperformantă, cu excepția cazului în care furnizorul de protecție eligibil a convenit să își îndeplinească integral și în conformitate cu calendarul de plată contractual inițial toate obligațiile de plată ale debitorului față de instituție, caz în care se aplică un factor 0 pentru partea garantată a expunerii neperformante.</w:t>
      </w:r>
      <w:r w:rsidR="00EB61FA" w:rsidRPr="00EB61FA">
        <w:rPr>
          <w:sz w:val="18"/>
          <w:szCs w:val="18"/>
          <w:highlight w:val="lightGray"/>
          <w:lang w:val="ro-MD" w:eastAsia="ro-MD"/>
        </w:rPr>
        <w:t xml:space="preserve"> </w:t>
      </w:r>
    </w:p>
    <w:p w14:paraId="090C19E1" w14:textId="69F9AD9B"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23</w:t>
      </w:r>
      <w:r w:rsidRPr="00EB61FA">
        <w:rPr>
          <w:b/>
          <w:bCs/>
          <w:lang w:val="ro-MD" w:eastAsia="ro-MD"/>
        </w:rPr>
        <w:t>.</w:t>
      </w:r>
      <w:r w:rsidRPr="00EB61FA">
        <w:rPr>
          <w:lang w:val="ro-MD" w:eastAsia="ro-MD"/>
        </w:rPr>
        <w:t xml:space="preserve"> Prin derogare de la punctul 67</w:t>
      </w:r>
      <w:r w:rsidRPr="00EB61FA">
        <w:rPr>
          <w:vertAlign w:val="superscript"/>
          <w:lang w:val="ro-MD" w:eastAsia="ro-MD"/>
        </w:rPr>
        <w:t>21</w:t>
      </w:r>
      <w:r w:rsidRPr="00EB61FA">
        <w:rPr>
          <w:lang w:val="ro-MD" w:eastAsia="ro-MD"/>
        </w:rPr>
        <w:t>, partea din expunerea neperformantă garantată sau asigurată de o agenție oficială de creditare a exportului este exclusă de la cerințele prevăzute la prezenta subsecțiune.</w:t>
      </w:r>
      <w:r w:rsidRPr="00EB61FA">
        <w:rPr>
          <w:sz w:val="18"/>
          <w:szCs w:val="18"/>
          <w:highlight w:val="lightGray"/>
          <w:lang w:val="ro-MD" w:eastAsia="ro-MD"/>
        </w:rPr>
        <w:t xml:space="preserve"> </w:t>
      </w:r>
    </w:p>
    <w:p w14:paraId="304975E0" w14:textId="568A5D5F"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24</w:t>
      </w:r>
      <w:r w:rsidRPr="00EB61FA">
        <w:rPr>
          <w:b/>
          <w:bCs/>
          <w:lang w:val="ro-MD" w:eastAsia="ro-MD"/>
        </w:rPr>
        <w:t>.</w:t>
      </w:r>
      <w:r w:rsidRPr="00EB61FA">
        <w:rPr>
          <w:lang w:val="ro-MD" w:eastAsia="ro-MD"/>
        </w:rPr>
        <w:t xml:space="preserve"> Prin derogare de la punctul 67</w:t>
      </w:r>
      <w:r w:rsidRPr="00EB61FA">
        <w:rPr>
          <w:vertAlign w:val="superscript"/>
          <w:lang w:val="ro-MD" w:eastAsia="ro-MD"/>
        </w:rPr>
        <w:t>20</w:t>
      </w:r>
      <w:r w:rsidRPr="00EB61FA">
        <w:rPr>
          <w:lang w:val="ro-MD" w:eastAsia="ro-MD"/>
        </w:rPr>
        <w:t>, în cazul în care unei expuneri i s-a acordat o măsură de restructurare datorată dificultăților financiare între un an și doi ani de la clasificarea sa drept neperformantă, factorul aplicabil în conformitate cu punctul 67</w:t>
      </w:r>
      <w:r w:rsidRPr="00EB61FA">
        <w:rPr>
          <w:vertAlign w:val="superscript"/>
          <w:lang w:val="ro-MD" w:eastAsia="ro-MD"/>
        </w:rPr>
        <w:t>20</w:t>
      </w:r>
      <w:r w:rsidRPr="00EB61FA">
        <w:rPr>
          <w:lang w:val="ro-MD" w:eastAsia="ro-MD"/>
        </w:rPr>
        <w:t xml:space="preserve"> la data la care se acordă măsura de restructurare datorată dificultăților financiare se aplică pentru o perioadă suplimentară de un an.</w:t>
      </w:r>
      <w:r w:rsidRPr="00EB61FA">
        <w:rPr>
          <w:sz w:val="18"/>
          <w:szCs w:val="18"/>
          <w:highlight w:val="lightGray"/>
          <w:lang w:val="ro-MD" w:eastAsia="ro-MD"/>
        </w:rPr>
        <w:t xml:space="preserve"> </w:t>
      </w:r>
    </w:p>
    <w:p w14:paraId="0D3BE181" w14:textId="3584CF10"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25</w:t>
      </w:r>
      <w:r w:rsidRPr="00EB61FA">
        <w:rPr>
          <w:b/>
          <w:bCs/>
          <w:lang w:val="ro-MD" w:eastAsia="ro-MD"/>
        </w:rPr>
        <w:t>.</w:t>
      </w:r>
      <w:r w:rsidRPr="00EB61FA">
        <w:rPr>
          <w:lang w:val="ro-MD" w:eastAsia="ro-MD"/>
        </w:rPr>
        <w:t xml:space="preserve"> Prin derogare de la punctul 67</w:t>
      </w:r>
      <w:r w:rsidRPr="00EB61FA">
        <w:rPr>
          <w:vertAlign w:val="superscript"/>
          <w:lang w:val="ro-MD" w:eastAsia="ro-MD"/>
        </w:rPr>
        <w:t>21</w:t>
      </w:r>
      <w:r w:rsidRPr="00EB61FA">
        <w:rPr>
          <w:lang w:val="ro-MD" w:eastAsia="ro-MD"/>
        </w:rPr>
        <w:t xml:space="preserve"> în cazul în care unei expuneri i s-a acordat o măsură de restructurare datorată dificultăților financiare între doi și șase ani după clasificarea sa drept neperformantă, factorul aplicabil în conformitate cu punctul 67</w:t>
      </w:r>
      <w:r w:rsidRPr="00EB61FA">
        <w:rPr>
          <w:vertAlign w:val="superscript"/>
          <w:lang w:val="ro-MD" w:eastAsia="ro-MD"/>
        </w:rPr>
        <w:t>21</w:t>
      </w:r>
      <w:r w:rsidRPr="00EB61FA">
        <w:rPr>
          <w:lang w:val="ro-MD" w:eastAsia="ro-MD"/>
        </w:rPr>
        <w:t xml:space="preserve"> la data la care se acordă măsura de restructurare datorată dificultăților financiare se aplică pentru o perioadă suplimentară de un an.</w:t>
      </w:r>
      <w:r w:rsidRPr="00EB61FA">
        <w:rPr>
          <w:sz w:val="18"/>
          <w:szCs w:val="18"/>
          <w:highlight w:val="lightGray"/>
          <w:lang w:val="ro-MD" w:eastAsia="ro-MD"/>
        </w:rPr>
        <w:t xml:space="preserve"> </w:t>
      </w:r>
    </w:p>
    <w:p w14:paraId="4D46BE25" w14:textId="13B4A5E1" w:rsidR="00EB61FA" w:rsidRDefault="00EB61FA" w:rsidP="0016632B">
      <w:pPr>
        <w:jc w:val="both"/>
        <w:rPr>
          <w:sz w:val="18"/>
          <w:szCs w:val="18"/>
          <w:lang w:val="ro-MD" w:eastAsia="ro-MD"/>
        </w:rPr>
      </w:pPr>
      <w:r w:rsidRPr="00EB61FA">
        <w:rPr>
          <w:b/>
          <w:bCs/>
          <w:lang w:val="ro-MD" w:eastAsia="ro-MD"/>
        </w:rPr>
        <w:t>67</w:t>
      </w:r>
      <w:r w:rsidRPr="00EB61FA">
        <w:rPr>
          <w:b/>
          <w:bCs/>
          <w:vertAlign w:val="superscript"/>
          <w:lang w:val="ro-MD" w:eastAsia="ro-MD"/>
        </w:rPr>
        <w:t>26</w:t>
      </w:r>
      <w:r w:rsidRPr="00EB61FA">
        <w:rPr>
          <w:b/>
          <w:bCs/>
          <w:lang w:val="ro-MD" w:eastAsia="ro-MD"/>
        </w:rPr>
        <w:t xml:space="preserve">. </w:t>
      </w:r>
      <w:r w:rsidRPr="00EB61FA">
        <w:rPr>
          <w:lang w:val="ro-MD" w:eastAsia="ro-MD"/>
        </w:rPr>
        <w:t>Prevederile punctelor 67</w:t>
      </w:r>
      <w:r w:rsidRPr="00EB61FA">
        <w:rPr>
          <w:vertAlign w:val="superscript"/>
          <w:lang w:val="ro-MD" w:eastAsia="ro-MD"/>
        </w:rPr>
        <w:t>24</w:t>
      </w:r>
      <w:r w:rsidRPr="00EB61FA">
        <w:rPr>
          <w:lang w:val="ro-MD" w:eastAsia="ro-MD"/>
        </w:rPr>
        <w:t xml:space="preserve"> și 67</w:t>
      </w:r>
      <w:r w:rsidRPr="00EB61FA">
        <w:rPr>
          <w:vertAlign w:val="superscript"/>
          <w:lang w:val="ro-MD" w:eastAsia="ro-MD"/>
        </w:rPr>
        <w:t>25</w:t>
      </w:r>
      <w:r w:rsidRPr="00EB61FA">
        <w:rPr>
          <w:lang w:val="ro-MD" w:eastAsia="ro-MD"/>
        </w:rPr>
        <w:t xml:space="preserve"> se aplică numai în ceea ce privește prima măsură de restructurare datorată dificultăților financiare care a fost acordată după clasificarea expunerii drept neperformantă.</w:t>
      </w:r>
      <w:r w:rsidR="00440718">
        <w:rPr>
          <w:sz w:val="18"/>
          <w:szCs w:val="18"/>
          <w:lang w:val="ro-MD" w:eastAsia="ro-MD"/>
        </w:rPr>
        <w:t>”.</w:t>
      </w:r>
    </w:p>
    <w:p w14:paraId="1B2596B9" w14:textId="17F96020" w:rsidR="00390F48" w:rsidRPr="00CD5F97" w:rsidRDefault="00390F48" w:rsidP="00E91829">
      <w:pPr>
        <w:pStyle w:val="ListParagraph"/>
        <w:numPr>
          <w:ilvl w:val="1"/>
          <w:numId w:val="27"/>
        </w:numPr>
        <w:spacing w:before="80"/>
        <w:ind w:left="0" w:firstLine="567"/>
        <w:contextualSpacing w:val="0"/>
        <w:jc w:val="both"/>
        <w:rPr>
          <w:lang w:val="ro-MD" w:eastAsia="ro-MD"/>
        </w:rPr>
      </w:pPr>
      <w:r w:rsidRPr="00CD5F97">
        <w:rPr>
          <w:lang w:val="ro-MD" w:eastAsia="ro-MD"/>
        </w:rPr>
        <w:t>La punctul 70:</w:t>
      </w:r>
    </w:p>
    <w:p w14:paraId="20F55472" w14:textId="77777777" w:rsidR="00CE4D6B" w:rsidRDefault="00390F48" w:rsidP="00FF10CA">
      <w:pPr>
        <w:pStyle w:val="ListParagraph"/>
        <w:numPr>
          <w:ilvl w:val="2"/>
          <w:numId w:val="27"/>
        </w:numPr>
        <w:ind w:left="0" w:firstLine="568"/>
        <w:jc w:val="both"/>
        <w:rPr>
          <w:lang w:val="ro-MD" w:eastAsia="ro-MD"/>
        </w:rPr>
      </w:pPr>
      <w:r w:rsidRPr="00390F48">
        <w:rPr>
          <w:lang w:val="ro-MD" w:eastAsia="ro-MD"/>
        </w:rPr>
        <w:t>subpunctul 1) va avea următorul cuprins:</w:t>
      </w:r>
    </w:p>
    <w:p w14:paraId="5575C0F8" w14:textId="6162CF2E" w:rsidR="00440718" w:rsidRPr="00CE4D6B" w:rsidRDefault="00390F48" w:rsidP="00CE4D6B">
      <w:pPr>
        <w:jc w:val="both"/>
        <w:rPr>
          <w:lang w:val="ro-MD" w:eastAsia="ro-MD"/>
        </w:rPr>
      </w:pPr>
      <w:r w:rsidRPr="00CE4D6B">
        <w:rPr>
          <w:lang w:val="ro-MD" w:eastAsia="ro-MD"/>
        </w:rPr>
        <w:t>„1) instrumentele sunt emise direct de o bancă și plătite integral. Doar partea unui instrument de capital care a fost plătită integral este eligibilă pentru a fi considerată instrument de fonduri proprii de nivel 1 suplimentar;”;</w:t>
      </w:r>
    </w:p>
    <w:p w14:paraId="1E31D14D" w14:textId="3CFF8D2B" w:rsidR="00390F48" w:rsidRDefault="00356A1F" w:rsidP="00FF10CA">
      <w:pPr>
        <w:pStyle w:val="ListParagraph"/>
        <w:numPr>
          <w:ilvl w:val="2"/>
          <w:numId w:val="27"/>
        </w:numPr>
        <w:ind w:left="0" w:firstLine="568"/>
        <w:jc w:val="both"/>
        <w:rPr>
          <w:lang w:val="ro-MD" w:eastAsia="ro-MD"/>
        </w:rPr>
      </w:pPr>
      <w:r>
        <w:rPr>
          <w:lang w:val="ro-MD" w:eastAsia="ro-MD"/>
        </w:rPr>
        <w:t>la</w:t>
      </w:r>
      <w:r w:rsidR="00390F48">
        <w:rPr>
          <w:lang w:val="ro-MD" w:eastAsia="ro-MD"/>
        </w:rPr>
        <w:t xml:space="preserve"> subpunctul 2)</w:t>
      </w:r>
      <w:r>
        <w:rPr>
          <w:lang w:val="ro-MD" w:eastAsia="ro-MD"/>
        </w:rPr>
        <w:t>,</w:t>
      </w:r>
      <w:r w:rsidR="00390F48">
        <w:rPr>
          <w:lang w:val="ro-MD" w:eastAsia="ro-MD"/>
        </w:rPr>
        <w:t xml:space="preserve"> cuvântul „</w:t>
      </w:r>
      <w:r w:rsidR="00390F48" w:rsidRPr="00390F48">
        <w:rPr>
          <w:lang w:val="ro-MD" w:eastAsia="ro-MD"/>
        </w:rPr>
        <w:t>achiziționate</w:t>
      </w:r>
      <w:r w:rsidR="00390F48">
        <w:rPr>
          <w:lang w:val="ro-MD" w:eastAsia="ro-MD"/>
        </w:rPr>
        <w:t>” se substituie cu cuvântul „</w:t>
      </w:r>
      <w:r w:rsidR="00390F48" w:rsidRPr="00390F48">
        <w:rPr>
          <w:lang w:val="ro-MD" w:eastAsia="ro-MD"/>
        </w:rPr>
        <w:t>deținute</w:t>
      </w:r>
      <w:r w:rsidR="00390F48">
        <w:rPr>
          <w:lang w:val="ro-MD" w:eastAsia="ro-MD"/>
        </w:rPr>
        <w:t>”;</w:t>
      </w:r>
    </w:p>
    <w:p w14:paraId="7D0DCABD" w14:textId="32D79240" w:rsidR="00390F48" w:rsidRDefault="00356A1F" w:rsidP="00FF10CA">
      <w:pPr>
        <w:pStyle w:val="ListParagraph"/>
        <w:numPr>
          <w:ilvl w:val="2"/>
          <w:numId w:val="27"/>
        </w:numPr>
        <w:ind w:left="0" w:firstLine="568"/>
        <w:jc w:val="both"/>
        <w:rPr>
          <w:lang w:val="ro-MD" w:eastAsia="ro-MD"/>
        </w:rPr>
      </w:pPr>
      <w:r>
        <w:rPr>
          <w:lang w:val="ro-MD" w:eastAsia="ro-MD"/>
        </w:rPr>
        <w:t>la</w:t>
      </w:r>
      <w:r w:rsidR="00390F48">
        <w:rPr>
          <w:lang w:val="ro-MD" w:eastAsia="ro-MD"/>
        </w:rPr>
        <w:t xml:space="preserve"> subpunctul 3)</w:t>
      </w:r>
      <w:r>
        <w:rPr>
          <w:lang w:val="ro-MD" w:eastAsia="ro-MD"/>
        </w:rPr>
        <w:t>,</w:t>
      </w:r>
      <w:r w:rsidR="00390F48">
        <w:rPr>
          <w:lang w:val="ro-MD" w:eastAsia="ro-MD"/>
        </w:rPr>
        <w:t xml:space="preserve"> după cuvântul „</w:t>
      </w:r>
      <w:r w:rsidR="00390F48" w:rsidRPr="00390F48">
        <w:rPr>
          <w:lang w:val="ro-MD" w:eastAsia="ro-MD"/>
        </w:rPr>
        <w:t>achiziționarea</w:t>
      </w:r>
      <w:r w:rsidR="00390F48">
        <w:rPr>
          <w:lang w:val="ro-MD" w:eastAsia="ro-MD"/>
        </w:rPr>
        <w:t>” se completează cu cuvintele</w:t>
      </w:r>
      <w:r w:rsidR="00390F48" w:rsidRPr="00390F48">
        <w:rPr>
          <w:lang w:val="ro-MD" w:eastAsia="ro-MD"/>
        </w:rPr>
        <w:t xml:space="preserve"> </w:t>
      </w:r>
      <w:r w:rsidR="00390F48">
        <w:rPr>
          <w:lang w:val="ro-MD" w:eastAsia="ro-MD"/>
        </w:rPr>
        <w:t>„</w:t>
      </w:r>
      <w:r w:rsidR="00390F48" w:rsidRPr="00390F48">
        <w:rPr>
          <w:lang w:val="ro-MD" w:eastAsia="ro-MD"/>
        </w:rPr>
        <w:t>dreptului de proprietate asupra</w:t>
      </w:r>
      <w:r w:rsidR="00390F48">
        <w:rPr>
          <w:lang w:val="ro-MD" w:eastAsia="ro-MD"/>
        </w:rPr>
        <w:t>”;</w:t>
      </w:r>
    </w:p>
    <w:p w14:paraId="386B3E26" w14:textId="13125CBF" w:rsidR="00BB4489" w:rsidRDefault="00356A1F" w:rsidP="00FF10CA">
      <w:pPr>
        <w:pStyle w:val="ListParagraph"/>
        <w:numPr>
          <w:ilvl w:val="2"/>
          <w:numId w:val="27"/>
        </w:numPr>
        <w:ind w:left="0" w:firstLine="568"/>
        <w:jc w:val="both"/>
        <w:rPr>
          <w:lang w:val="ro-MD" w:eastAsia="ro-MD"/>
        </w:rPr>
      </w:pPr>
      <w:r>
        <w:rPr>
          <w:lang w:val="ro-MD" w:eastAsia="ro-MD"/>
        </w:rPr>
        <w:t>la</w:t>
      </w:r>
      <w:r w:rsidR="00BB4489">
        <w:rPr>
          <w:lang w:val="ro-MD" w:eastAsia="ro-MD"/>
        </w:rPr>
        <w:t xml:space="preserve"> subpunctul 8)</w:t>
      </w:r>
      <w:r>
        <w:rPr>
          <w:lang w:val="ro-MD" w:eastAsia="ro-MD"/>
        </w:rPr>
        <w:t>,</w:t>
      </w:r>
      <w:r w:rsidR="00BB4489">
        <w:rPr>
          <w:lang w:val="ro-MD" w:eastAsia="ro-MD"/>
        </w:rPr>
        <w:t xml:space="preserve"> „cuvintele „</w:t>
      </w:r>
      <w:r w:rsidR="00BB4489" w:rsidRPr="00BB4489">
        <w:rPr>
          <w:lang w:val="ro-MD" w:eastAsia="ro-MD"/>
        </w:rPr>
        <w:t>opțiuni de cumpărare</w:t>
      </w:r>
      <w:r w:rsidR="00BB4489">
        <w:rPr>
          <w:lang w:val="ro-MD" w:eastAsia="ro-MD"/>
        </w:rPr>
        <w:t>” se substituie cu textul „</w:t>
      </w:r>
      <w:r w:rsidR="00BB4489" w:rsidRPr="00BB4489">
        <w:rPr>
          <w:lang w:val="ro-MD" w:eastAsia="ro-MD"/>
        </w:rPr>
        <w:t>opțiuni de răscumpărare anticipată, inclusiv opțiuni de cumpărare (</w:t>
      </w:r>
      <w:proofErr w:type="spellStart"/>
      <w:r w:rsidR="00BB4489" w:rsidRPr="00BB4489">
        <w:rPr>
          <w:lang w:val="ro-MD" w:eastAsia="ro-MD"/>
        </w:rPr>
        <w:t>call</w:t>
      </w:r>
      <w:proofErr w:type="spellEnd"/>
      <w:r w:rsidR="00BB4489" w:rsidRPr="00BB4489">
        <w:rPr>
          <w:lang w:val="ro-MD" w:eastAsia="ro-MD"/>
        </w:rPr>
        <w:t>)</w:t>
      </w:r>
      <w:r w:rsidR="00BB4489">
        <w:rPr>
          <w:lang w:val="ro-MD" w:eastAsia="ro-MD"/>
        </w:rPr>
        <w:t>”;</w:t>
      </w:r>
    </w:p>
    <w:p w14:paraId="3E059090" w14:textId="77777777" w:rsidR="00CE4D6B" w:rsidRDefault="00BB4489" w:rsidP="00FF10CA">
      <w:pPr>
        <w:pStyle w:val="ListParagraph"/>
        <w:numPr>
          <w:ilvl w:val="2"/>
          <w:numId w:val="27"/>
        </w:numPr>
        <w:ind w:left="0" w:firstLine="568"/>
        <w:jc w:val="both"/>
        <w:rPr>
          <w:lang w:val="ro-MD" w:eastAsia="ro-MD"/>
        </w:rPr>
      </w:pPr>
      <w:r w:rsidRPr="00390F48">
        <w:rPr>
          <w:lang w:val="ro-MD" w:eastAsia="ro-MD"/>
        </w:rPr>
        <w:t>subpunctul 1</w:t>
      </w:r>
      <w:r>
        <w:rPr>
          <w:lang w:val="ro-MD" w:eastAsia="ro-MD"/>
        </w:rPr>
        <w:t>0</w:t>
      </w:r>
      <w:r w:rsidRPr="00390F48">
        <w:rPr>
          <w:lang w:val="ro-MD" w:eastAsia="ro-MD"/>
        </w:rPr>
        <w:t>) va avea următorul cuprins:</w:t>
      </w:r>
    </w:p>
    <w:p w14:paraId="6805B4B7" w14:textId="14DBAC17" w:rsidR="00BB4489" w:rsidRPr="00CE4D6B" w:rsidRDefault="00BB4489" w:rsidP="00CE4D6B">
      <w:pPr>
        <w:jc w:val="both"/>
        <w:rPr>
          <w:lang w:val="ro-MD" w:eastAsia="ro-MD"/>
        </w:rPr>
      </w:pPr>
      <w:r w:rsidRPr="00CE4D6B">
        <w:rPr>
          <w:lang w:val="ro-MD" w:eastAsia="ro-MD"/>
        </w:rPr>
        <w:t>„10) dispozițiile care reglementează instrumentele nu indică în mod explicit sau implicit că opțiunile de cumpărare (</w:t>
      </w:r>
      <w:proofErr w:type="spellStart"/>
      <w:r w:rsidRPr="00CE4D6B">
        <w:rPr>
          <w:lang w:val="ro-MD" w:eastAsia="ro-MD"/>
        </w:rPr>
        <w:t>call</w:t>
      </w:r>
      <w:proofErr w:type="spellEnd"/>
      <w:r w:rsidRPr="00CE4D6B">
        <w:rPr>
          <w:lang w:val="ro-MD" w:eastAsia="ro-MD"/>
        </w:rPr>
        <w:t>) ar fi exercitate sau instrumentele ar fi rambursate sau răscumpărate, după caz, de către bancă în alte cazuri decât insolvabilitatea sau lichidarea băncii, iar banca nu face nicio altă mențiune în acest sens;”</w:t>
      </w:r>
      <w:r w:rsidR="00EB745A">
        <w:rPr>
          <w:lang w:val="ro-MD" w:eastAsia="ro-MD"/>
        </w:rPr>
        <w:t>;</w:t>
      </w:r>
    </w:p>
    <w:p w14:paraId="654B215D" w14:textId="3A2E382E" w:rsidR="00BB4489" w:rsidRPr="00E97068" w:rsidRDefault="00BB4489" w:rsidP="008714DC">
      <w:pPr>
        <w:pStyle w:val="ListParagraph"/>
        <w:numPr>
          <w:ilvl w:val="2"/>
          <w:numId w:val="27"/>
        </w:numPr>
        <w:ind w:left="0" w:firstLine="568"/>
        <w:jc w:val="both"/>
        <w:rPr>
          <w:lang w:val="ro-MD" w:eastAsia="ro-MD"/>
        </w:rPr>
      </w:pPr>
      <w:r w:rsidRPr="00E97068">
        <w:rPr>
          <w:lang w:val="ro-MD" w:eastAsia="ro-MD"/>
        </w:rPr>
        <w:t>subpunctul 16)</w:t>
      </w:r>
      <w:r w:rsidR="000D7FD4" w:rsidRPr="00E97068">
        <w:rPr>
          <w:lang w:val="ro-MD" w:eastAsia="ro-MD"/>
        </w:rPr>
        <w:t xml:space="preserve"> </w:t>
      </w:r>
      <w:r w:rsidR="00EB745A" w:rsidRPr="00E97068">
        <w:rPr>
          <w:lang w:val="ro-MD" w:eastAsia="ro-MD"/>
        </w:rPr>
        <w:t>se abrogă;</w:t>
      </w:r>
    </w:p>
    <w:p w14:paraId="72962B38" w14:textId="0EB6F458" w:rsidR="00BB4489" w:rsidRDefault="001236EA" w:rsidP="00B129E7">
      <w:pPr>
        <w:pStyle w:val="ListParagraph"/>
        <w:numPr>
          <w:ilvl w:val="2"/>
          <w:numId w:val="27"/>
        </w:numPr>
        <w:ind w:left="0" w:firstLine="567"/>
        <w:jc w:val="both"/>
        <w:rPr>
          <w:lang w:val="ro-MD" w:eastAsia="ro-MD"/>
        </w:rPr>
      </w:pPr>
      <w:r>
        <w:rPr>
          <w:lang w:val="ro-MD" w:eastAsia="ro-MD"/>
        </w:rPr>
        <w:t>se completează cu punctele 17)</w:t>
      </w:r>
      <w:r w:rsidR="00EB745A">
        <w:rPr>
          <w:lang w:val="ro-MD" w:eastAsia="ro-MD"/>
        </w:rPr>
        <w:t>-20</w:t>
      </w:r>
      <w:r>
        <w:rPr>
          <w:lang w:val="ro-MD" w:eastAsia="ro-MD"/>
        </w:rPr>
        <w:t>) cu următorul cuprins:</w:t>
      </w:r>
    </w:p>
    <w:p w14:paraId="519BE274" w14:textId="1A2E18BA" w:rsidR="00EB745A" w:rsidRDefault="001236EA" w:rsidP="001236EA">
      <w:pPr>
        <w:jc w:val="both"/>
        <w:rPr>
          <w:lang w:val="ro-MD" w:eastAsia="ro-MD"/>
        </w:rPr>
      </w:pPr>
      <w:r>
        <w:rPr>
          <w:lang w:val="ro-MD" w:eastAsia="ro-MD"/>
        </w:rPr>
        <w:t>„</w:t>
      </w:r>
      <w:r w:rsidR="00EB745A" w:rsidRPr="00BB4489">
        <w:rPr>
          <w:lang w:val="ro-MD" w:eastAsia="ro-MD"/>
        </w:rPr>
        <w:t>1</w:t>
      </w:r>
      <w:r w:rsidR="00EB745A">
        <w:rPr>
          <w:lang w:val="ro-MD" w:eastAsia="ro-MD"/>
        </w:rPr>
        <w:t>7</w:t>
      </w:r>
      <w:r w:rsidR="00EB745A" w:rsidRPr="00BB4489">
        <w:rPr>
          <w:lang w:val="ro-MD" w:eastAsia="ro-MD"/>
        </w:rPr>
        <w:t xml:space="preserve">) în cazul în care emitentul este stabilit într-o țară terță și a fost desemnat ca făcând parte dintr-un grup de rezoluție, a cărui entitate de rezoluție este stabilită în Republica Moldova sau într-un stat membru al Uniunii Europene, sau în cazul în care emitentul este stabilit într-un stat membru al Uniunii Europene, legislația sau dispozițiile contractuale care reglementează instrumentele impun ca, la decizia autorității de rezoluție de a exercita competențele de reducere a valorii contabile și de conversie menționate la </w:t>
      </w:r>
      <w:bookmarkStart w:id="11" w:name="_Hlk217402401"/>
      <w:r w:rsidR="006A7883" w:rsidRPr="006A7883">
        <w:rPr>
          <w:lang w:val="ro-MD" w:eastAsia="ro-MD"/>
        </w:rPr>
        <w:t xml:space="preserve">articolele 219-225 </w:t>
      </w:r>
      <w:bookmarkEnd w:id="11"/>
      <w:r w:rsidR="00EB745A" w:rsidRPr="00BB4489">
        <w:rPr>
          <w:lang w:val="ro-MD" w:eastAsia="ro-MD"/>
        </w:rPr>
        <w:t xml:space="preserve">din Legea nr.232/2016, cuantumul principalului </w:t>
      </w:r>
      <w:r w:rsidR="00EB745A" w:rsidRPr="00BB4489">
        <w:rPr>
          <w:lang w:val="ro-MD" w:eastAsia="ro-MD"/>
        </w:rPr>
        <w:lastRenderedPageBreak/>
        <w:t>instrumentelor să fie redus în mod permanent sau instrumentele să fie convertite în instrumente de fonduri proprii de nivel 1 de bază;</w:t>
      </w:r>
      <w:r w:rsidR="00EB745A">
        <w:rPr>
          <w:lang w:val="ro-MD" w:eastAsia="ro-MD"/>
        </w:rPr>
        <w:t>”</w:t>
      </w:r>
      <w:r w:rsidR="00E97068">
        <w:rPr>
          <w:lang w:val="ro-MD" w:eastAsia="ro-MD"/>
        </w:rPr>
        <w:t>;</w:t>
      </w:r>
    </w:p>
    <w:p w14:paraId="74BF5603" w14:textId="75774D24" w:rsidR="001236EA" w:rsidRDefault="00EB745A" w:rsidP="001236EA">
      <w:pPr>
        <w:jc w:val="both"/>
        <w:rPr>
          <w:sz w:val="18"/>
          <w:szCs w:val="18"/>
          <w:lang w:val="ro-MD" w:eastAsia="ro-MD"/>
        </w:rPr>
      </w:pPr>
      <w:r w:rsidRPr="001236EA">
        <w:rPr>
          <w:lang w:val="ro-MD" w:eastAsia="ro-MD"/>
        </w:rPr>
        <w:t>1</w:t>
      </w:r>
      <w:r>
        <w:rPr>
          <w:lang w:val="ro-MD" w:eastAsia="ro-MD"/>
        </w:rPr>
        <w:t>8</w:t>
      </w:r>
      <w:r w:rsidR="001236EA" w:rsidRPr="001236EA">
        <w:rPr>
          <w:lang w:val="ro-MD" w:eastAsia="ro-MD"/>
        </w:rPr>
        <w:t>) în cazul în care emitentul este stabilit într-o țară terță și nu a fost desemnat ca făcând parte dintr-un grup de rezoluție, a cărui entitate de rezoluție este stabilită într-un stat membru al Uniunii Europene, legislația sau dispozițiile contractuale care reglementează instrumentele impun ca, la decizia autorității relevante din țara terță, cuantumul principalului instrumentelor să fie redus în mod permanent sau instrumentele să fie convertite în instrumente de fonduri proprii de nivel 1 de bază;</w:t>
      </w:r>
    </w:p>
    <w:p w14:paraId="5FC2E1EC" w14:textId="7CD75968" w:rsidR="001236EA" w:rsidRPr="001236EA" w:rsidRDefault="00EB745A" w:rsidP="001236EA">
      <w:pPr>
        <w:jc w:val="both"/>
        <w:rPr>
          <w:lang w:val="ro-MD" w:eastAsia="ro-MD"/>
        </w:rPr>
      </w:pPr>
      <w:r w:rsidRPr="001236EA">
        <w:rPr>
          <w:lang w:val="ro-MD" w:eastAsia="ro-MD"/>
        </w:rPr>
        <w:t>1</w:t>
      </w:r>
      <w:r>
        <w:rPr>
          <w:lang w:val="ro-MD" w:eastAsia="ro-MD"/>
        </w:rPr>
        <w:t>9</w:t>
      </w:r>
      <w:r w:rsidR="001236EA" w:rsidRPr="001236EA">
        <w:rPr>
          <w:lang w:val="ro-MD" w:eastAsia="ro-MD"/>
        </w:rPr>
        <w:t xml:space="preserve">) în cazul în care emitentul este stabilit într-o țară terță și a fost desemnat ca făcând parte dintr-un grup de rezoluție, a cărui entitate de rezoluție este stabilită în sau într-un stat membru al Uniunii Europene, sau în cazul în care emitentul este stabilit într-un stat membru al Uniunii Europene, instrumentele pot fi emise în temeiul legislației unei țări terțe sau pot face în alt mod obiectul legislației unei țări terțe numai dacă, în temeiul legislației respective, exercitarea competențelor de reducere a valorii contabile și de conversie menționate la </w:t>
      </w:r>
      <w:bookmarkStart w:id="12" w:name="_Hlk219369064"/>
      <w:r w:rsidR="00B927D0">
        <w:rPr>
          <w:lang w:val="ro-MD" w:eastAsia="ro-MD"/>
        </w:rPr>
        <w:t>articolele 219-225</w:t>
      </w:r>
      <w:r w:rsidR="001236EA" w:rsidRPr="001236EA">
        <w:rPr>
          <w:lang w:val="ro-MD" w:eastAsia="ro-MD"/>
        </w:rPr>
        <w:t xml:space="preserve"> </w:t>
      </w:r>
      <w:bookmarkEnd w:id="12"/>
      <w:r w:rsidR="001236EA" w:rsidRPr="001236EA">
        <w:rPr>
          <w:lang w:val="ro-MD" w:eastAsia="ro-MD"/>
        </w:rPr>
        <w:t>din Legea nr.232/2016 este efectivă și executorie în baza dispozițiilor statutare sau a dispozițiilor contractuale cu caracter executoriu din punct de vedere juridic care recunosc rezoluția sau alte acțiuni de reducere a valorii contabile sau de conversie;</w:t>
      </w:r>
    </w:p>
    <w:p w14:paraId="744C84B9" w14:textId="4633104F" w:rsidR="001236EA" w:rsidRPr="001236EA" w:rsidRDefault="00EB745A" w:rsidP="001236EA">
      <w:pPr>
        <w:jc w:val="both"/>
        <w:rPr>
          <w:lang w:val="ro-MD" w:eastAsia="ro-MD"/>
        </w:rPr>
      </w:pPr>
      <w:r>
        <w:rPr>
          <w:lang w:val="ro-MD" w:eastAsia="ro-MD"/>
        </w:rPr>
        <w:t>20</w:t>
      </w:r>
      <w:r w:rsidR="001236EA" w:rsidRPr="001236EA">
        <w:rPr>
          <w:lang w:val="ro-MD" w:eastAsia="ro-MD"/>
        </w:rPr>
        <w:t>) instrumentele nu fac obiectul unor acorduri de compensare sau de compensare reciprocă care le-ar afecta capacitatea de a absorbi pierderile.</w:t>
      </w:r>
      <w:r w:rsidR="001236EA">
        <w:rPr>
          <w:lang w:val="ro-MD" w:eastAsia="ro-MD"/>
        </w:rPr>
        <w:t>”.</w:t>
      </w:r>
    </w:p>
    <w:p w14:paraId="43BC2D00" w14:textId="609CA675" w:rsidR="00390F48" w:rsidRDefault="00CE4D6B" w:rsidP="00E91829">
      <w:pPr>
        <w:pStyle w:val="ListParagraph"/>
        <w:numPr>
          <w:ilvl w:val="1"/>
          <w:numId w:val="27"/>
        </w:numPr>
        <w:spacing w:before="80"/>
        <w:ind w:left="0" w:firstLine="567"/>
        <w:contextualSpacing w:val="0"/>
        <w:jc w:val="both"/>
        <w:rPr>
          <w:lang w:val="ro-MD" w:eastAsia="ro-MD"/>
        </w:rPr>
      </w:pPr>
      <w:r>
        <w:rPr>
          <w:lang w:val="ro-MD" w:eastAsia="ro-MD"/>
        </w:rPr>
        <w:t>La p</w:t>
      </w:r>
      <w:r w:rsidR="001236EA">
        <w:rPr>
          <w:lang w:val="ro-MD" w:eastAsia="ro-MD"/>
        </w:rPr>
        <w:t>unctul 7</w:t>
      </w:r>
      <w:r w:rsidR="00CD5F97">
        <w:rPr>
          <w:lang w:val="ro-MD" w:eastAsia="ro-MD"/>
        </w:rPr>
        <w:t>1</w:t>
      </w:r>
      <w:r w:rsidR="001236EA">
        <w:rPr>
          <w:lang w:val="ro-MD" w:eastAsia="ro-MD"/>
        </w:rPr>
        <w:t>:</w:t>
      </w:r>
    </w:p>
    <w:p w14:paraId="3C24CE62" w14:textId="050D52B6" w:rsidR="00F22155" w:rsidRPr="00F22155" w:rsidRDefault="00F22155" w:rsidP="00FF10CA">
      <w:pPr>
        <w:pStyle w:val="ListParagraph"/>
        <w:numPr>
          <w:ilvl w:val="2"/>
          <w:numId w:val="27"/>
        </w:numPr>
        <w:ind w:left="0" w:firstLine="567"/>
        <w:jc w:val="both"/>
        <w:rPr>
          <w:lang w:val="ro-MD" w:eastAsia="ro-MD"/>
        </w:rPr>
      </w:pPr>
      <w:r w:rsidRPr="00091D0F">
        <w:rPr>
          <w:color w:val="000000" w:themeColor="text1"/>
          <w:lang w:val="ro-MD" w:eastAsia="ro-MD"/>
        </w:rPr>
        <w:t xml:space="preserve">în </w:t>
      </w:r>
      <w:r w:rsidR="00D86080" w:rsidRPr="00091D0F">
        <w:rPr>
          <w:color w:val="000000" w:themeColor="text1"/>
          <w:lang w:val="ro-MD" w:eastAsia="ro-MD"/>
        </w:rPr>
        <w:t>alineat</w:t>
      </w:r>
      <w:r w:rsidR="00CD5F97" w:rsidRPr="00091D0F">
        <w:rPr>
          <w:color w:val="000000" w:themeColor="text1"/>
          <w:lang w:val="ro-MD" w:eastAsia="ro-MD"/>
        </w:rPr>
        <w:t>ul introductiv</w:t>
      </w:r>
      <w:r w:rsidR="00141516">
        <w:rPr>
          <w:color w:val="000000" w:themeColor="text1"/>
          <w:lang w:val="ro-MD" w:eastAsia="ro-MD"/>
        </w:rPr>
        <w:t>,</w:t>
      </w:r>
      <w:r w:rsidR="00D86080" w:rsidRPr="00091D0F">
        <w:rPr>
          <w:color w:val="000000" w:themeColor="text1"/>
          <w:lang w:val="ro-MD" w:eastAsia="ro-MD"/>
        </w:rPr>
        <w:t xml:space="preserve"> </w:t>
      </w:r>
      <w:r w:rsidRPr="00091D0F">
        <w:rPr>
          <w:color w:val="000000" w:themeColor="text1"/>
          <w:lang w:val="ro-MD" w:eastAsia="ro-MD"/>
        </w:rPr>
        <w:t>textul „</w:t>
      </w:r>
      <w:r w:rsidR="00091D0F" w:rsidRPr="00091D0F">
        <w:rPr>
          <w:color w:val="000000" w:themeColor="text1"/>
          <w:lang w:val="ro-MD" w:eastAsia="ro-MD"/>
        </w:rPr>
        <w:t>și</w:t>
      </w:r>
      <w:r w:rsidRPr="00091D0F">
        <w:rPr>
          <w:color w:val="000000" w:themeColor="text1"/>
          <w:lang w:val="ro-MD" w:eastAsia="ro-MD"/>
        </w:rPr>
        <w:t xml:space="preserve"> al punctului 97, subpunctul 8),” se substituie cu textul „ , al </w:t>
      </w:r>
      <w:r w:rsidRPr="00F22155">
        <w:rPr>
          <w:lang w:val="ro-MD" w:eastAsia="ro-MD"/>
        </w:rPr>
        <w:t>punctului 97 subpunctul 8), precum și al punctului</w:t>
      </w:r>
      <w:r w:rsidR="00475B90">
        <w:rPr>
          <w:lang w:val="ro-MD" w:eastAsia="ro-MD"/>
        </w:rPr>
        <w:t xml:space="preserve"> </w:t>
      </w:r>
      <w:r w:rsidRPr="00F22155">
        <w:rPr>
          <w:lang w:val="ro-MD" w:eastAsia="ro-MD"/>
        </w:rPr>
        <w:t>109</w:t>
      </w:r>
      <w:r w:rsidRPr="00F22155">
        <w:rPr>
          <w:vertAlign w:val="superscript"/>
          <w:lang w:val="ro-MD" w:eastAsia="ro-MD"/>
        </w:rPr>
        <w:t>5</w:t>
      </w:r>
      <w:r w:rsidRPr="00F22155">
        <w:rPr>
          <w:lang w:val="ro-MD" w:eastAsia="ro-MD"/>
        </w:rPr>
        <w:t>, subpunctul 7),</w:t>
      </w:r>
      <w:r>
        <w:rPr>
          <w:lang w:val="ro-MD" w:eastAsia="ro-MD"/>
        </w:rPr>
        <w:t>” și după cuvintele „</w:t>
      </w:r>
      <w:r w:rsidRPr="00F22155">
        <w:rPr>
          <w:lang w:val="ro-MD" w:eastAsia="ro-MD"/>
        </w:rPr>
        <w:t>instrumentul de capital</w:t>
      </w:r>
      <w:r>
        <w:rPr>
          <w:lang w:val="ro-MD" w:eastAsia="ro-MD"/>
        </w:rPr>
        <w:t>” se completează cu cuvintele „</w:t>
      </w:r>
      <w:r w:rsidRPr="00F22155">
        <w:rPr>
          <w:lang w:val="ro-MD" w:eastAsia="ro-MD"/>
        </w:rPr>
        <w:t xml:space="preserve"> sau pasivul</w:t>
      </w:r>
      <w:r>
        <w:rPr>
          <w:lang w:val="ro-MD" w:eastAsia="ro-MD"/>
        </w:rPr>
        <w:t>”;</w:t>
      </w:r>
    </w:p>
    <w:p w14:paraId="581FB4DF" w14:textId="79C6D4E7" w:rsidR="00D86080" w:rsidRDefault="00481E82" w:rsidP="00FF10CA">
      <w:pPr>
        <w:pStyle w:val="ListParagraph"/>
        <w:numPr>
          <w:ilvl w:val="2"/>
          <w:numId w:val="27"/>
        </w:numPr>
        <w:ind w:left="0" w:firstLine="567"/>
        <w:jc w:val="both"/>
        <w:rPr>
          <w:lang w:val="ro-MD" w:eastAsia="ro-MD"/>
        </w:rPr>
      </w:pPr>
      <w:bookmarkStart w:id="13" w:name="_Hlk206755682"/>
      <w:r>
        <w:rPr>
          <w:lang w:val="ro-MD" w:eastAsia="ro-MD"/>
        </w:rPr>
        <w:t xml:space="preserve">la </w:t>
      </w:r>
      <w:r w:rsidR="00D86080">
        <w:rPr>
          <w:lang w:val="ro-MD" w:eastAsia="ro-MD"/>
        </w:rPr>
        <w:t>subpunctul 1)</w:t>
      </w:r>
      <w:r w:rsidR="00141516">
        <w:rPr>
          <w:lang w:val="ro-MD" w:eastAsia="ro-MD"/>
        </w:rPr>
        <w:t>,</w:t>
      </w:r>
      <w:r w:rsidR="00D86080">
        <w:rPr>
          <w:lang w:val="ro-MD" w:eastAsia="ro-MD"/>
        </w:rPr>
        <w:t xml:space="preserve"> după cuvântul „instrumentul” se completează cu cuvintele „sau pasivul”;</w:t>
      </w:r>
    </w:p>
    <w:bookmarkEnd w:id="13"/>
    <w:p w14:paraId="10B78447" w14:textId="1EA96272" w:rsidR="00D86080" w:rsidRPr="00D86080" w:rsidRDefault="00481E82" w:rsidP="00FF10CA">
      <w:pPr>
        <w:pStyle w:val="ListParagraph"/>
        <w:numPr>
          <w:ilvl w:val="2"/>
          <w:numId w:val="27"/>
        </w:numPr>
        <w:ind w:left="0" w:firstLine="567"/>
        <w:jc w:val="both"/>
        <w:rPr>
          <w:lang w:val="ro-MD" w:eastAsia="ro-MD"/>
        </w:rPr>
      </w:pPr>
      <w:r>
        <w:rPr>
          <w:lang w:val="ro-MD" w:eastAsia="ro-MD"/>
        </w:rPr>
        <w:t xml:space="preserve">la </w:t>
      </w:r>
      <w:r w:rsidR="00D86080" w:rsidRPr="00D86080">
        <w:rPr>
          <w:lang w:val="ro-MD" w:eastAsia="ro-MD"/>
        </w:rPr>
        <w:t xml:space="preserve">subpunctul </w:t>
      </w:r>
      <w:r w:rsidR="00D86080">
        <w:rPr>
          <w:lang w:val="ro-MD" w:eastAsia="ro-MD"/>
        </w:rPr>
        <w:t>3</w:t>
      </w:r>
      <w:r w:rsidR="00D86080" w:rsidRPr="00D86080">
        <w:rPr>
          <w:lang w:val="ro-MD" w:eastAsia="ro-MD"/>
        </w:rPr>
        <w:t>)</w:t>
      </w:r>
      <w:r w:rsidR="00141516">
        <w:rPr>
          <w:lang w:val="ro-MD" w:eastAsia="ro-MD"/>
        </w:rPr>
        <w:t>,</w:t>
      </w:r>
      <w:r w:rsidR="00D86080" w:rsidRPr="00D86080">
        <w:rPr>
          <w:lang w:val="ro-MD" w:eastAsia="ro-MD"/>
        </w:rPr>
        <w:t xml:space="preserve"> după cuvântul „instrumentul</w:t>
      </w:r>
      <w:r w:rsidR="00D86080">
        <w:rPr>
          <w:lang w:val="ro-MD" w:eastAsia="ro-MD"/>
        </w:rPr>
        <w:t>ui</w:t>
      </w:r>
      <w:r w:rsidR="00D86080" w:rsidRPr="00D86080">
        <w:rPr>
          <w:lang w:val="ro-MD" w:eastAsia="ro-MD"/>
        </w:rPr>
        <w:t xml:space="preserve">” se completează cu cuvintele „sau </w:t>
      </w:r>
      <w:r w:rsidR="00D86080">
        <w:rPr>
          <w:lang w:val="ro-MD" w:eastAsia="ro-MD"/>
        </w:rPr>
        <w:t xml:space="preserve">a </w:t>
      </w:r>
      <w:r w:rsidR="00D86080" w:rsidRPr="00D86080">
        <w:rPr>
          <w:lang w:val="ro-MD" w:eastAsia="ro-MD"/>
        </w:rPr>
        <w:t>pasivul</w:t>
      </w:r>
      <w:r w:rsidR="00D86080">
        <w:rPr>
          <w:lang w:val="ro-MD" w:eastAsia="ro-MD"/>
        </w:rPr>
        <w:t>ui</w:t>
      </w:r>
      <w:r w:rsidR="00D86080" w:rsidRPr="00D86080">
        <w:rPr>
          <w:lang w:val="ro-MD" w:eastAsia="ro-MD"/>
        </w:rPr>
        <w:t>”;</w:t>
      </w:r>
    </w:p>
    <w:p w14:paraId="07B9D9B2" w14:textId="57254BA9" w:rsidR="00D86080" w:rsidRDefault="00D86080" w:rsidP="00FF10CA">
      <w:pPr>
        <w:pStyle w:val="ListParagraph"/>
        <w:numPr>
          <w:ilvl w:val="2"/>
          <w:numId w:val="27"/>
        </w:numPr>
        <w:ind w:left="0" w:firstLine="567"/>
        <w:jc w:val="both"/>
        <w:rPr>
          <w:lang w:val="ro-MD" w:eastAsia="ro-MD"/>
        </w:rPr>
      </w:pPr>
      <w:r>
        <w:rPr>
          <w:lang w:val="ro-MD" w:eastAsia="ro-MD"/>
        </w:rPr>
        <w:t>se completează cu subpunctele 4), 5) și 6) cu următorul cuprins:</w:t>
      </w:r>
    </w:p>
    <w:p w14:paraId="3D85D613" w14:textId="5AA8D85E" w:rsidR="00D86080" w:rsidRPr="00D86080" w:rsidRDefault="00D86080" w:rsidP="00D86080">
      <w:pPr>
        <w:jc w:val="both"/>
        <w:rPr>
          <w:lang w:val="ro-MD" w:eastAsia="ro-MD"/>
        </w:rPr>
      </w:pPr>
      <w:r>
        <w:rPr>
          <w:lang w:val="ro-MD" w:eastAsia="ro-MD"/>
        </w:rPr>
        <w:t>„</w:t>
      </w:r>
      <w:r w:rsidRPr="00D86080">
        <w:rPr>
          <w:lang w:val="ro-MD" w:eastAsia="ro-MD"/>
        </w:rPr>
        <w:t>4)</w:t>
      </w:r>
      <w:r w:rsidRPr="00D86080">
        <w:rPr>
          <w:rFonts w:ascii="Calibri" w:eastAsia="Calibri" w:hAnsi="Calibri"/>
          <w:kern w:val="2"/>
          <w:sz w:val="22"/>
          <w:szCs w:val="22"/>
          <w:lang w:val="ro-MD"/>
          <w14:ligatures w14:val="standardContextual"/>
        </w:rPr>
        <w:t xml:space="preserve"> </w:t>
      </w:r>
      <w:r w:rsidRPr="00D86080">
        <w:rPr>
          <w:lang w:val="ro-MD" w:eastAsia="ro-MD"/>
        </w:rPr>
        <w:t xml:space="preserve">o opțiune de cumpărare corelată cu o creștere a </w:t>
      </w:r>
      <w:r w:rsidRPr="002D5BDD">
        <w:rPr>
          <w:lang w:val="en-GB" w:eastAsia="ro-MD"/>
        </w:rPr>
        <w:t>spread</w:t>
      </w:r>
      <w:r w:rsidR="002D5BDD">
        <w:rPr>
          <w:lang w:val="ro-MD" w:eastAsia="ro-MD"/>
        </w:rPr>
        <w:t>-</w:t>
      </w:r>
      <w:r w:rsidRPr="00D86080">
        <w:rPr>
          <w:lang w:val="ro-MD" w:eastAsia="ro-MD"/>
        </w:rPr>
        <w:t>lui de credit al instrumentului sau al pasivului în cazul în care opțiunea de cumpărare (</w:t>
      </w:r>
      <w:r w:rsidRPr="002D5BDD">
        <w:rPr>
          <w:lang w:val="en-GB" w:eastAsia="ro-MD"/>
        </w:rPr>
        <w:t>call</w:t>
      </w:r>
      <w:r w:rsidRPr="00D86080">
        <w:rPr>
          <w:lang w:val="ro-MD" w:eastAsia="ro-MD"/>
        </w:rPr>
        <w:t>) nu este exercitată;</w:t>
      </w:r>
      <w:r w:rsidRPr="00D86080">
        <w:rPr>
          <w:sz w:val="18"/>
          <w:szCs w:val="18"/>
          <w:highlight w:val="lightGray"/>
          <w:lang w:val="ro-MD" w:eastAsia="ro-MD"/>
        </w:rPr>
        <w:t xml:space="preserve"> </w:t>
      </w:r>
    </w:p>
    <w:p w14:paraId="52727264" w14:textId="6BF1B43D" w:rsidR="00D86080" w:rsidRPr="00D86080" w:rsidRDefault="00D86080" w:rsidP="00D86080">
      <w:pPr>
        <w:jc w:val="both"/>
        <w:rPr>
          <w:lang w:val="ro-MD" w:eastAsia="ro-MD"/>
        </w:rPr>
      </w:pPr>
      <w:r w:rsidRPr="00D86080">
        <w:rPr>
          <w:lang w:val="ro-MD" w:eastAsia="ro-MD"/>
        </w:rPr>
        <w:t>5)</w:t>
      </w:r>
      <w:r w:rsidRPr="00D86080">
        <w:rPr>
          <w:rFonts w:ascii="Calibri" w:eastAsia="Calibri" w:hAnsi="Calibri"/>
          <w:kern w:val="2"/>
          <w:sz w:val="22"/>
          <w:szCs w:val="22"/>
          <w:lang w:val="ro-MD"/>
          <w14:ligatures w14:val="standardContextual"/>
        </w:rPr>
        <w:t xml:space="preserve"> </w:t>
      </w:r>
      <w:r w:rsidRPr="00D86080">
        <w:rPr>
          <w:lang w:val="ro-MD" w:eastAsia="ro-MD"/>
        </w:rPr>
        <w:t>o opțiune de cumpărare (</w:t>
      </w:r>
      <w:r w:rsidRPr="002D5BDD">
        <w:rPr>
          <w:lang w:val="en-GB" w:eastAsia="ro-MD"/>
        </w:rPr>
        <w:t>call</w:t>
      </w:r>
      <w:r w:rsidRPr="00D86080">
        <w:rPr>
          <w:lang w:val="ro-MD" w:eastAsia="ro-MD"/>
        </w:rPr>
        <w:t xml:space="preserve">) corelată cu variația ratei de referință în cazul în care </w:t>
      </w:r>
      <w:r w:rsidRPr="002D5BDD">
        <w:rPr>
          <w:lang w:val="en-GB" w:eastAsia="ro-MD"/>
        </w:rPr>
        <w:t>spread</w:t>
      </w:r>
      <w:r w:rsidR="002D5BDD">
        <w:rPr>
          <w:lang w:val="ro-MD" w:eastAsia="ro-MD"/>
        </w:rPr>
        <w:t>-</w:t>
      </w:r>
      <w:proofErr w:type="spellStart"/>
      <w:r w:rsidRPr="00D86080">
        <w:rPr>
          <w:lang w:val="ro-MD" w:eastAsia="ro-MD"/>
        </w:rPr>
        <w:t>ul</w:t>
      </w:r>
      <w:proofErr w:type="spellEnd"/>
      <w:r w:rsidRPr="00D86080">
        <w:rPr>
          <w:lang w:val="ro-MD" w:eastAsia="ro-MD"/>
        </w:rPr>
        <w:t xml:space="preserve"> de credit peste a doua rată de referință este mai mare decât rata de plată inițială minus rata de </w:t>
      </w:r>
      <w:r w:rsidRPr="002D5BDD">
        <w:rPr>
          <w:lang w:val="en-GB" w:eastAsia="ro-MD"/>
        </w:rPr>
        <w:t>swap</w:t>
      </w:r>
      <w:r>
        <w:rPr>
          <w:lang w:val="ro-MD" w:eastAsia="ro-MD"/>
        </w:rPr>
        <w:t>;</w:t>
      </w:r>
    </w:p>
    <w:p w14:paraId="544F185D" w14:textId="1A818776" w:rsidR="00C3555E" w:rsidRDefault="00D86080" w:rsidP="00D86080">
      <w:pPr>
        <w:jc w:val="both"/>
        <w:rPr>
          <w:lang w:val="ro-MD" w:eastAsia="ro-MD"/>
        </w:rPr>
      </w:pPr>
      <w:r w:rsidRPr="00D86080">
        <w:rPr>
          <w:lang w:val="ro-MD" w:eastAsia="ro-MD"/>
        </w:rPr>
        <w:t>6)</w:t>
      </w:r>
      <w:r w:rsidRPr="00D86080">
        <w:rPr>
          <w:rFonts w:ascii="Calibri" w:eastAsia="Calibri" w:hAnsi="Calibri"/>
          <w:kern w:val="2"/>
          <w:sz w:val="22"/>
          <w:szCs w:val="22"/>
          <w:lang w:val="ro-MD"/>
          <w14:ligatures w14:val="standardContextual"/>
        </w:rPr>
        <w:t xml:space="preserve"> </w:t>
      </w:r>
      <w:r w:rsidRPr="00D86080">
        <w:rPr>
          <w:lang w:val="ro-MD" w:eastAsia="ro-MD"/>
        </w:rPr>
        <w:t xml:space="preserve">o opțiune de repunere pe piață corelată cu o creștere a </w:t>
      </w:r>
      <w:r w:rsidRPr="002D5BDD">
        <w:rPr>
          <w:lang w:val="en-GB" w:eastAsia="ro-MD"/>
        </w:rPr>
        <w:t>spread</w:t>
      </w:r>
      <w:r w:rsidR="002D5BDD">
        <w:rPr>
          <w:lang w:val="ro-MD" w:eastAsia="ro-MD"/>
        </w:rPr>
        <w:t>-</w:t>
      </w:r>
      <w:r w:rsidRPr="00D86080">
        <w:rPr>
          <w:lang w:val="ro-MD" w:eastAsia="ro-MD"/>
        </w:rPr>
        <w:t xml:space="preserve">lui de credit al instrumentului sau al pasivului sau cu o variație a ratei de referință în cazul în care </w:t>
      </w:r>
      <w:r w:rsidRPr="002D5BDD">
        <w:rPr>
          <w:lang w:val="en-GB" w:eastAsia="ro-MD"/>
        </w:rPr>
        <w:t>spread</w:t>
      </w:r>
      <w:r w:rsidR="002D5BDD">
        <w:rPr>
          <w:lang w:val="ro-MD" w:eastAsia="ro-MD"/>
        </w:rPr>
        <w:t>-</w:t>
      </w:r>
      <w:proofErr w:type="spellStart"/>
      <w:r w:rsidRPr="00D86080">
        <w:rPr>
          <w:lang w:val="ro-MD" w:eastAsia="ro-MD"/>
        </w:rPr>
        <w:t>ul</w:t>
      </w:r>
      <w:proofErr w:type="spellEnd"/>
      <w:r w:rsidRPr="00D86080">
        <w:rPr>
          <w:lang w:val="ro-MD" w:eastAsia="ro-MD"/>
        </w:rPr>
        <w:t xml:space="preserve"> de credit peste cea de a doua rată de referință este mai mare decât rata de plată inițială minus rata de </w:t>
      </w:r>
      <w:r w:rsidRPr="002D5BDD">
        <w:rPr>
          <w:lang w:val="en-GB" w:eastAsia="ro-MD"/>
        </w:rPr>
        <w:t>swap</w:t>
      </w:r>
      <w:r w:rsidRPr="00D86080">
        <w:rPr>
          <w:lang w:val="ro-MD" w:eastAsia="ro-MD"/>
        </w:rPr>
        <w:t xml:space="preserve"> în cazul în care instrumentul sau pasivul nu este repus pe piață.</w:t>
      </w:r>
      <w:r>
        <w:rPr>
          <w:lang w:val="ro-MD" w:eastAsia="ro-MD"/>
        </w:rPr>
        <w:t>”.</w:t>
      </w:r>
    </w:p>
    <w:p w14:paraId="3F14E8C2" w14:textId="4A49A215" w:rsidR="00D86080" w:rsidRPr="00C3555E" w:rsidRDefault="00C3555E" w:rsidP="00E91829">
      <w:pPr>
        <w:pStyle w:val="ListParagraph"/>
        <w:numPr>
          <w:ilvl w:val="1"/>
          <w:numId w:val="27"/>
        </w:numPr>
        <w:spacing w:before="80"/>
        <w:ind w:left="0" w:firstLine="567"/>
        <w:contextualSpacing w:val="0"/>
        <w:jc w:val="both"/>
        <w:rPr>
          <w:lang w:val="ro-MD" w:eastAsia="ro-MD"/>
        </w:rPr>
      </w:pPr>
      <w:r w:rsidRPr="00C3555E">
        <w:rPr>
          <w:lang w:val="ro-MD" w:eastAsia="ro-MD"/>
        </w:rPr>
        <w:t>P</w:t>
      </w:r>
      <w:r w:rsidR="00D86080" w:rsidRPr="00C3555E">
        <w:rPr>
          <w:lang w:val="ro-MD" w:eastAsia="ro-MD"/>
        </w:rPr>
        <w:t>unctul 73 se completează cu subpunctul 5) cu următorul cuprins:</w:t>
      </w:r>
    </w:p>
    <w:p w14:paraId="7E9615B1" w14:textId="76367043" w:rsidR="00D86080" w:rsidRDefault="00D86080" w:rsidP="00D86080">
      <w:pPr>
        <w:jc w:val="both"/>
        <w:rPr>
          <w:lang w:val="ro-MD" w:eastAsia="ro-MD"/>
        </w:rPr>
      </w:pPr>
      <w:r>
        <w:rPr>
          <w:lang w:val="ro-MD" w:eastAsia="ro-MD"/>
        </w:rPr>
        <w:t>„</w:t>
      </w:r>
      <w:r w:rsidRPr="00D86080">
        <w:rPr>
          <w:lang w:val="ro-MD" w:eastAsia="ro-MD"/>
        </w:rPr>
        <w:t>5) în cazul în care instrumentele de fonduri proprii de nivel 1 suplimentar au fost emise de o întreprindere filială stabilită într-o țară terță, pragul de 6,5% sau mai mare menționat la subpunctul 1) se calculează în conformitate cu dreptul intern al țării terțe respective sau cu dispozițiile contractuale care reglementează instrumentele, cu condiția ca dispozițiile în cauză sunt cel puțin echivalente cu cerințele prevăzute la prezenta secțiune</w:t>
      </w:r>
      <w:r w:rsidR="00C3555E">
        <w:rPr>
          <w:lang w:val="ro-MD" w:eastAsia="ro-MD"/>
        </w:rPr>
        <w:t>.”.</w:t>
      </w:r>
    </w:p>
    <w:p w14:paraId="77DFA384" w14:textId="31DA8BD0" w:rsidR="001B0C70" w:rsidRDefault="00C3555E" w:rsidP="00E91829">
      <w:pPr>
        <w:pStyle w:val="ListParagraph"/>
        <w:numPr>
          <w:ilvl w:val="1"/>
          <w:numId w:val="27"/>
        </w:numPr>
        <w:spacing w:before="80"/>
        <w:ind w:left="0" w:firstLine="567"/>
        <w:contextualSpacing w:val="0"/>
        <w:jc w:val="both"/>
        <w:rPr>
          <w:lang w:val="ro-MD" w:eastAsia="ro-MD"/>
        </w:rPr>
      </w:pPr>
      <w:r>
        <w:rPr>
          <w:lang w:val="ro-MD" w:eastAsia="ro-MD"/>
        </w:rPr>
        <w:t>La punctul 81 subpunctul 6)</w:t>
      </w:r>
      <w:r w:rsidR="00296927">
        <w:rPr>
          <w:lang w:val="ro-MD" w:eastAsia="ro-MD"/>
        </w:rPr>
        <w:t>,</w:t>
      </w:r>
      <w:r>
        <w:rPr>
          <w:lang w:val="ro-MD" w:eastAsia="ro-MD"/>
        </w:rPr>
        <w:t xml:space="preserve"> textul „</w:t>
      </w:r>
      <w:r w:rsidRPr="00C3555E">
        <w:rPr>
          <w:lang w:val="ro-MD" w:eastAsia="ro-MD"/>
        </w:rPr>
        <w:t>nr.110 din 24.05.2018</w:t>
      </w:r>
      <w:r>
        <w:rPr>
          <w:lang w:val="ro-MD" w:eastAsia="ro-MD"/>
        </w:rPr>
        <w:t>” se substituie cu textul „nr.110/2018”.</w:t>
      </w:r>
    </w:p>
    <w:p w14:paraId="4208BFB0" w14:textId="05DBE995" w:rsidR="001B0C70" w:rsidRPr="001B0C70" w:rsidRDefault="00C3555E" w:rsidP="00E91829">
      <w:pPr>
        <w:pStyle w:val="ListParagraph"/>
        <w:numPr>
          <w:ilvl w:val="1"/>
          <w:numId w:val="27"/>
        </w:numPr>
        <w:spacing w:before="80"/>
        <w:ind w:left="0" w:firstLine="567"/>
        <w:contextualSpacing w:val="0"/>
        <w:jc w:val="both"/>
        <w:rPr>
          <w:lang w:val="ro-MD" w:eastAsia="ro-MD"/>
        </w:rPr>
      </w:pPr>
      <w:r w:rsidRPr="001B0C70">
        <w:rPr>
          <w:lang w:val="ro-MD" w:eastAsia="ro-MD"/>
        </w:rPr>
        <w:t>La punctul 90</w:t>
      </w:r>
      <w:r w:rsidR="001B0C70" w:rsidRPr="001B0C70">
        <w:rPr>
          <w:lang w:val="ro-MD" w:eastAsia="ro-MD"/>
        </w:rPr>
        <w:t xml:space="preserve"> subpunctul 1) litera a) va avea următorul cuprins:</w:t>
      </w:r>
    </w:p>
    <w:p w14:paraId="217A0DE0" w14:textId="04299D67" w:rsidR="001B0C70" w:rsidRPr="001B0C70" w:rsidRDefault="001B0C70" w:rsidP="001B0C70">
      <w:pPr>
        <w:jc w:val="both"/>
        <w:rPr>
          <w:lang w:val="ro-MD" w:eastAsia="ro-MD"/>
        </w:rPr>
      </w:pPr>
      <w:r>
        <w:rPr>
          <w:lang w:val="ro-MD" w:eastAsia="ro-MD"/>
        </w:rPr>
        <w:t>„</w:t>
      </w:r>
      <w:r w:rsidRPr="001B0C70">
        <w:rPr>
          <w:lang w:val="ro-MD" w:eastAsia="ro-MD"/>
        </w:rPr>
        <w:t>a) data scadenței poziției scurte este aceeași cu cea a poziției lungi sau survine după această dată sau scadența reziduală a poziției scurte este de cel puțin un an;</w:t>
      </w:r>
      <w:r>
        <w:rPr>
          <w:lang w:val="ro-MD" w:eastAsia="ro-MD"/>
        </w:rPr>
        <w:t>”.</w:t>
      </w:r>
    </w:p>
    <w:p w14:paraId="0EB71F28" w14:textId="6C8DEA62" w:rsidR="00481E82" w:rsidRDefault="00831DDD" w:rsidP="00E91829">
      <w:pPr>
        <w:pStyle w:val="ListParagraph"/>
        <w:numPr>
          <w:ilvl w:val="1"/>
          <w:numId w:val="27"/>
        </w:numPr>
        <w:spacing w:before="80"/>
        <w:ind w:left="0" w:firstLine="568"/>
        <w:contextualSpacing w:val="0"/>
        <w:jc w:val="both"/>
        <w:rPr>
          <w:lang w:val="ro-MD" w:eastAsia="ro-MD"/>
        </w:rPr>
      </w:pPr>
      <w:r>
        <w:rPr>
          <w:lang w:val="ro-MD" w:eastAsia="ro-MD"/>
        </w:rPr>
        <w:lastRenderedPageBreak/>
        <w:t>La p</w:t>
      </w:r>
      <w:r w:rsidR="00773B3D" w:rsidRPr="00773B3D">
        <w:rPr>
          <w:lang w:val="ro-MD" w:eastAsia="ro-MD"/>
        </w:rPr>
        <w:t xml:space="preserve">unctul </w:t>
      </w:r>
      <w:r w:rsidR="00773B3D">
        <w:rPr>
          <w:lang w:val="ro-MD" w:eastAsia="ro-MD"/>
        </w:rPr>
        <w:t xml:space="preserve">91 </w:t>
      </w:r>
      <w:r w:rsidR="00773B3D" w:rsidRPr="00773B3D">
        <w:rPr>
          <w:lang w:val="ro-MD" w:eastAsia="ro-MD"/>
        </w:rPr>
        <w:t>subpunctul 1):</w:t>
      </w:r>
    </w:p>
    <w:p w14:paraId="3147B2E8" w14:textId="6AD53618" w:rsidR="00481E82" w:rsidRDefault="00481E82" w:rsidP="00FF10CA">
      <w:pPr>
        <w:pStyle w:val="ListParagraph"/>
        <w:numPr>
          <w:ilvl w:val="2"/>
          <w:numId w:val="27"/>
        </w:numPr>
        <w:ind w:left="0" w:firstLine="568"/>
        <w:jc w:val="both"/>
        <w:rPr>
          <w:lang w:val="ro-MD" w:eastAsia="ro-MD"/>
        </w:rPr>
      </w:pPr>
      <w:r w:rsidRPr="00481E82">
        <w:rPr>
          <w:lang w:val="ro-MD" w:eastAsia="ro-MD"/>
        </w:rPr>
        <w:t xml:space="preserve">la </w:t>
      </w:r>
      <w:r w:rsidR="00831DDD">
        <w:rPr>
          <w:lang w:val="ro-MD" w:eastAsia="ro-MD"/>
        </w:rPr>
        <w:t>l</w:t>
      </w:r>
      <w:r w:rsidR="00773B3D" w:rsidRPr="00481E82">
        <w:rPr>
          <w:lang w:val="ro-MD" w:eastAsia="ro-MD"/>
        </w:rPr>
        <w:t>itera a)</w:t>
      </w:r>
      <w:r w:rsidR="00831DDD">
        <w:rPr>
          <w:lang w:val="ro-MD" w:eastAsia="ro-MD"/>
        </w:rPr>
        <w:t>,</w:t>
      </w:r>
      <w:r w:rsidR="00773B3D" w:rsidRPr="00481E82">
        <w:rPr>
          <w:lang w:val="ro-MD" w:eastAsia="ro-MD"/>
        </w:rPr>
        <w:t xml:space="preserve"> </w:t>
      </w:r>
      <w:r w:rsidR="00112722">
        <w:rPr>
          <w:lang w:val="ro-MD" w:eastAsia="ro-MD"/>
        </w:rPr>
        <w:t xml:space="preserve">textul </w:t>
      </w:r>
      <w:r w:rsidR="00112722" w:rsidRPr="00481E82">
        <w:rPr>
          <w:lang w:val="ro-MD" w:eastAsia="ro-MD"/>
        </w:rPr>
        <w:t xml:space="preserve"> </w:t>
      </w:r>
      <w:r w:rsidR="00773B3D" w:rsidRPr="00481E82">
        <w:rPr>
          <w:lang w:val="ro-MD" w:eastAsia="ro-MD"/>
        </w:rPr>
        <w:t>„</w:t>
      </w:r>
      <w:r w:rsidR="00112722">
        <w:rPr>
          <w:lang w:val="ro-MD" w:eastAsia="ro-MD"/>
        </w:rPr>
        <w:t xml:space="preserve">punctelor </w:t>
      </w:r>
      <w:r w:rsidR="00773B3D" w:rsidRPr="00481E82">
        <w:rPr>
          <w:lang w:val="ro-MD" w:eastAsia="ro-MD"/>
        </w:rPr>
        <w:t>26</w:t>
      </w:r>
      <w:r w:rsidR="00112722">
        <w:rPr>
          <w:lang w:val="ro-MD" w:eastAsia="ro-MD"/>
        </w:rPr>
        <w:t>-29</w:t>
      </w:r>
      <w:r w:rsidR="00773B3D" w:rsidRPr="00481E82">
        <w:rPr>
          <w:lang w:val="ro-MD" w:eastAsia="ro-MD"/>
        </w:rPr>
        <w:t xml:space="preserve">” se substituie cu </w:t>
      </w:r>
      <w:r w:rsidR="00112722">
        <w:rPr>
          <w:lang w:val="ro-MD" w:eastAsia="ro-MD"/>
        </w:rPr>
        <w:t>textul</w:t>
      </w:r>
      <w:r w:rsidR="00112722" w:rsidRPr="00481E82">
        <w:rPr>
          <w:lang w:val="ro-MD" w:eastAsia="ro-MD"/>
        </w:rPr>
        <w:t xml:space="preserve"> </w:t>
      </w:r>
      <w:r w:rsidR="00773B3D" w:rsidRPr="00481E82">
        <w:rPr>
          <w:lang w:val="ro-MD" w:eastAsia="ro-MD"/>
        </w:rPr>
        <w:t>„25</w:t>
      </w:r>
      <w:r w:rsidR="00773B3D" w:rsidRPr="00481E82">
        <w:rPr>
          <w:vertAlign w:val="superscript"/>
          <w:lang w:val="ro-MD" w:eastAsia="ro-MD"/>
        </w:rPr>
        <w:t>1</w:t>
      </w:r>
      <w:r w:rsidR="00112722">
        <w:rPr>
          <w:lang w:val="ro-MD" w:eastAsia="ro-MD"/>
        </w:rPr>
        <w:t>-29</w:t>
      </w:r>
      <w:r w:rsidR="00773B3D" w:rsidRPr="00481E82">
        <w:rPr>
          <w:lang w:val="ro-MD" w:eastAsia="ro-MD"/>
        </w:rPr>
        <w:t>”;</w:t>
      </w:r>
    </w:p>
    <w:p w14:paraId="0DAFBDE1" w14:textId="3D7F2205" w:rsidR="00773B3D" w:rsidRPr="00481E82" w:rsidRDefault="00481E82" w:rsidP="00FF10CA">
      <w:pPr>
        <w:pStyle w:val="ListParagraph"/>
        <w:numPr>
          <w:ilvl w:val="2"/>
          <w:numId w:val="27"/>
        </w:numPr>
        <w:ind w:left="0" w:firstLine="568"/>
        <w:jc w:val="both"/>
        <w:rPr>
          <w:lang w:val="ro-MD" w:eastAsia="ro-MD"/>
        </w:rPr>
      </w:pPr>
      <w:r>
        <w:rPr>
          <w:lang w:val="ro-MD" w:eastAsia="ro-MD"/>
        </w:rPr>
        <w:t xml:space="preserve">la </w:t>
      </w:r>
      <w:r w:rsidR="00773B3D" w:rsidRPr="00481E82">
        <w:rPr>
          <w:lang w:val="ro-MD" w:eastAsia="ro-MD"/>
        </w:rPr>
        <w:t>litera b)</w:t>
      </w:r>
      <w:r w:rsidR="00831DDD">
        <w:rPr>
          <w:lang w:val="ro-MD" w:eastAsia="ro-MD"/>
        </w:rPr>
        <w:t>,</w:t>
      </w:r>
      <w:r w:rsidR="00773B3D" w:rsidRPr="00481E82">
        <w:rPr>
          <w:lang w:val="ro-MD" w:eastAsia="ro-MD"/>
        </w:rPr>
        <w:t xml:space="preserve"> textul „10) și 11)” se substituie cu textul „10) literele b) - e) și 11) - 13)”.</w:t>
      </w:r>
    </w:p>
    <w:p w14:paraId="7A21972D" w14:textId="0B190515" w:rsidR="00773B3D" w:rsidRDefault="00773B3D" w:rsidP="00E91829">
      <w:pPr>
        <w:pStyle w:val="ListParagraph"/>
        <w:numPr>
          <w:ilvl w:val="1"/>
          <w:numId w:val="27"/>
        </w:numPr>
        <w:spacing w:before="80"/>
        <w:ind w:left="0" w:firstLine="568"/>
        <w:contextualSpacing w:val="0"/>
        <w:rPr>
          <w:lang w:val="ro-MD" w:eastAsia="ro-MD"/>
        </w:rPr>
      </w:pPr>
      <w:r>
        <w:rPr>
          <w:lang w:val="ro-MD" w:eastAsia="ro-MD"/>
        </w:rPr>
        <w:t xml:space="preserve"> </w:t>
      </w:r>
      <w:r w:rsidR="00831DDD">
        <w:rPr>
          <w:lang w:val="ro-MD" w:eastAsia="ro-MD"/>
        </w:rPr>
        <w:t>La p</w:t>
      </w:r>
      <w:r>
        <w:rPr>
          <w:lang w:val="ro-MD" w:eastAsia="ro-MD"/>
        </w:rPr>
        <w:t>unctul 96:</w:t>
      </w:r>
    </w:p>
    <w:p w14:paraId="0579403B" w14:textId="02F1BB8F" w:rsidR="00C3555E" w:rsidRPr="00753EA8" w:rsidRDefault="00753EA8" w:rsidP="00FF10CA">
      <w:pPr>
        <w:pStyle w:val="ListParagraph"/>
        <w:numPr>
          <w:ilvl w:val="2"/>
          <w:numId w:val="27"/>
        </w:numPr>
        <w:ind w:left="0" w:firstLine="567"/>
        <w:jc w:val="both"/>
        <w:rPr>
          <w:b/>
          <w:bCs/>
          <w:lang w:val="ro-MD" w:eastAsia="ro-MD"/>
        </w:rPr>
      </w:pPr>
      <w:r w:rsidRPr="00753EA8">
        <w:rPr>
          <w:lang w:val="ro-MD" w:eastAsia="ro-MD"/>
        </w:rPr>
        <w:t>s</w:t>
      </w:r>
      <w:r w:rsidR="00773B3D" w:rsidRPr="00753EA8">
        <w:rPr>
          <w:lang w:val="ro-MD" w:eastAsia="ro-MD"/>
        </w:rPr>
        <w:t>ubpunctul 1) se completează cu textul „</w:t>
      </w:r>
      <w:r w:rsidRPr="00753EA8">
        <w:rPr>
          <w:lang w:val="ro-MD" w:eastAsia="ro-MD"/>
        </w:rPr>
        <w:t>și în măsura specificată la punctul 98</w:t>
      </w:r>
      <w:r>
        <w:rPr>
          <w:lang w:val="ro-MD" w:eastAsia="ro-MD"/>
        </w:rPr>
        <w:t>”;</w:t>
      </w:r>
    </w:p>
    <w:p w14:paraId="5C6B1A31" w14:textId="77777777" w:rsidR="00753EA8" w:rsidRPr="00753EA8" w:rsidRDefault="00753EA8" w:rsidP="00FF10CA">
      <w:pPr>
        <w:pStyle w:val="ListParagraph"/>
        <w:numPr>
          <w:ilvl w:val="2"/>
          <w:numId w:val="27"/>
        </w:numPr>
        <w:ind w:left="0" w:firstLine="567"/>
        <w:jc w:val="both"/>
        <w:rPr>
          <w:b/>
          <w:bCs/>
          <w:lang w:val="ro-MD" w:eastAsia="ro-MD"/>
        </w:rPr>
      </w:pPr>
      <w:r>
        <w:rPr>
          <w:lang w:val="ro-MD" w:eastAsia="ro-MD"/>
        </w:rPr>
        <w:t>se completează cu subpunctul 4) cu următorul cuprins:</w:t>
      </w:r>
    </w:p>
    <w:p w14:paraId="50CE7398" w14:textId="1B659855" w:rsidR="00753EA8" w:rsidRDefault="00753EA8" w:rsidP="00DF57A5">
      <w:pPr>
        <w:jc w:val="both"/>
        <w:rPr>
          <w:lang w:val="ro-MD" w:eastAsia="ro-MD"/>
        </w:rPr>
      </w:pPr>
      <w:r w:rsidRPr="00753EA8">
        <w:rPr>
          <w:lang w:val="ro-MD" w:eastAsia="ro-MD"/>
        </w:rPr>
        <w:t>„4)</w:t>
      </w:r>
      <w:r w:rsidR="00E97068">
        <w:rPr>
          <w:lang w:val="ro-MD" w:eastAsia="ro-MD"/>
        </w:rPr>
        <w:t xml:space="preserve"> </w:t>
      </w:r>
      <w:r w:rsidRPr="00753EA8">
        <w:rPr>
          <w:lang w:val="ro-MD" w:eastAsia="ro-MD"/>
        </w:rPr>
        <w:t>excedentul conform IRB, înainte de impozite, acolo unde este cazul, de până la 0,6% din cuantumurile ponderate la risc ale expunerilor calculate în conformitate cu actul normativ al Băncii Naționale a Moldovei aferent tratamentului riscului de credit potrivit abordării bazate pe modele interne de rating</w:t>
      </w:r>
      <w:r w:rsidR="00286ADF">
        <w:rPr>
          <w:lang w:val="ro-MD" w:eastAsia="ro-MD"/>
        </w:rPr>
        <w:t>,</w:t>
      </w:r>
      <w:r w:rsidR="00286ADF" w:rsidRPr="00286ADF">
        <w:rPr>
          <w:lang w:val="ro-MD" w:eastAsia="ro-MD"/>
        </w:rPr>
        <w:t xml:space="preserve"> </w:t>
      </w:r>
      <w:r w:rsidR="00286ADF" w:rsidRPr="00753EA8">
        <w:rPr>
          <w:lang w:val="ro-MD" w:eastAsia="ro-MD"/>
        </w:rPr>
        <w:t>pentru băncile care calculează cuantumurile ponderate la risc ale expunerilor în conformitate cu abordarea bazată pe modele interne de rating</w:t>
      </w:r>
      <w:r>
        <w:rPr>
          <w:lang w:val="ro-MD" w:eastAsia="ro-MD"/>
        </w:rPr>
        <w:t>.”</w:t>
      </w:r>
      <w:r w:rsidR="00DF57A5">
        <w:rPr>
          <w:lang w:val="ro-MD" w:eastAsia="ro-MD"/>
        </w:rPr>
        <w:t>.</w:t>
      </w:r>
    </w:p>
    <w:p w14:paraId="29512EE2" w14:textId="081E335A" w:rsidR="00753EA8" w:rsidRPr="00DF57A5" w:rsidRDefault="00DF57A5" w:rsidP="00E97068">
      <w:pPr>
        <w:pStyle w:val="ListParagraph"/>
        <w:numPr>
          <w:ilvl w:val="1"/>
          <w:numId w:val="27"/>
        </w:numPr>
        <w:spacing w:before="80"/>
        <w:ind w:left="0" w:firstLine="567"/>
        <w:contextualSpacing w:val="0"/>
        <w:rPr>
          <w:lang w:val="ro-MD" w:eastAsia="ro-MD"/>
        </w:rPr>
      </w:pPr>
      <w:r>
        <w:rPr>
          <w:lang w:val="ro-MD" w:eastAsia="ro-MD"/>
        </w:rPr>
        <w:t>S</w:t>
      </w:r>
      <w:r w:rsidR="00753EA8" w:rsidRPr="00DF57A5">
        <w:rPr>
          <w:lang w:val="ro-MD" w:eastAsia="ro-MD"/>
        </w:rPr>
        <w:t>e completează cu punctul 96</w:t>
      </w:r>
      <w:r w:rsidR="00753EA8" w:rsidRPr="00DF57A5">
        <w:rPr>
          <w:vertAlign w:val="superscript"/>
          <w:lang w:val="ro-MD" w:eastAsia="ro-MD"/>
        </w:rPr>
        <w:t>1</w:t>
      </w:r>
      <w:r w:rsidR="00753EA8" w:rsidRPr="00DF57A5">
        <w:rPr>
          <w:lang w:val="ro-MD" w:eastAsia="ro-MD"/>
        </w:rPr>
        <w:t xml:space="preserve"> cu următorul cuprins:</w:t>
      </w:r>
    </w:p>
    <w:p w14:paraId="2C691146" w14:textId="45A1CEF7" w:rsidR="00753EA8" w:rsidRDefault="00753EA8" w:rsidP="00E97068">
      <w:pPr>
        <w:jc w:val="both"/>
        <w:rPr>
          <w:lang w:val="ro-MD" w:eastAsia="ro-MD"/>
        </w:rPr>
      </w:pPr>
      <w:r>
        <w:rPr>
          <w:lang w:val="ro-MD" w:eastAsia="ro-MD"/>
        </w:rPr>
        <w:t>„</w:t>
      </w:r>
      <w:r w:rsidRPr="00972452">
        <w:rPr>
          <w:b/>
          <w:bCs/>
          <w:lang w:val="ro-MD" w:eastAsia="ro-MD"/>
        </w:rPr>
        <w:t>96</w:t>
      </w:r>
      <w:r w:rsidRPr="00972452">
        <w:rPr>
          <w:b/>
          <w:bCs/>
          <w:vertAlign w:val="superscript"/>
          <w:lang w:val="ro-MD" w:eastAsia="ro-MD"/>
        </w:rPr>
        <w:t>1</w:t>
      </w:r>
      <w:r w:rsidRPr="00972452">
        <w:rPr>
          <w:b/>
          <w:bCs/>
          <w:lang w:val="ro-MD" w:eastAsia="ro-MD"/>
        </w:rPr>
        <w:t>.</w:t>
      </w:r>
      <w:r w:rsidRPr="00753EA8">
        <w:rPr>
          <w:lang w:val="ro-MD" w:eastAsia="ro-MD"/>
        </w:rPr>
        <w:t xml:space="preserve"> Instrumentele incluse la punctul 96 subpunctul 1) nu se califică drept elemente de fonduri proprii de nivel 1 de bază sau drept elemente de fonduri proprii de nivel 1 suplimentar.</w:t>
      </w:r>
      <w:r>
        <w:rPr>
          <w:lang w:val="ro-MD" w:eastAsia="ro-MD"/>
        </w:rPr>
        <w:t>”.</w:t>
      </w:r>
    </w:p>
    <w:p w14:paraId="43EBD408" w14:textId="48C7EA10" w:rsidR="00753EA8" w:rsidRDefault="00C6746C" w:rsidP="00E97068">
      <w:pPr>
        <w:pStyle w:val="ListParagraph"/>
        <w:numPr>
          <w:ilvl w:val="1"/>
          <w:numId w:val="27"/>
        </w:numPr>
        <w:spacing w:before="80"/>
        <w:ind w:left="0" w:firstLine="567"/>
        <w:contextualSpacing w:val="0"/>
        <w:rPr>
          <w:lang w:val="ro-MD" w:eastAsia="ro-MD"/>
        </w:rPr>
      </w:pPr>
      <w:r>
        <w:rPr>
          <w:lang w:val="ro-MD" w:eastAsia="ro-MD"/>
        </w:rPr>
        <w:t>La p</w:t>
      </w:r>
      <w:r w:rsidR="00753EA8">
        <w:rPr>
          <w:lang w:val="ro-MD" w:eastAsia="ro-MD"/>
        </w:rPr>
        <w:t>unctul 97:</w:t>
      </w:r>
    </w:p>
    <w:p w14:paraId="1EBE03C3" w14:textId="1FB6283C" w:rsidR="009932C7" w:rsidRDefault="00753EA8" w:rsidP="00FF10CA">
      <w:pPr>
        <w:pStyle w:val="ListParagraph"/>
        <w:numPr>
          <w:ilvl w:val="2"/>
          <w:numId w:val="27"/>
        </w:numPr>
        <w:ind w:left="0" w:firstLine="567"/>
        <w:rPr>
          <w:lang w:val="ro-MD" w:eastAsia="ro-MD"/>
        </w:rPr>
      </w:pPr>
      <w:r w:rsidRPr="00753EA8">
        <w:rPr>
          <w:lang w:val="ro-MD" w:eastAsia="ro-MD"/>
        </w:rPr>
        <w:t xml:space="preserve"> </w:t>
      </w:r>
      <w:r w:rsidR="009932C7">
        <w:rPr>
          <w:lang w:val="ro-MD" w:eastAsia="ro-MD"/>
        </w:rPr>
        <w:t>s</w:t>
      </w:r>
      <w:r>
        <w:rPr>
          <w:lang w:val="ro-MD" w:eastAsia="ro-MD"/>
        </w:rPr>
        <w:t xml:space="preserve">ubpunctul 1) </w:t>
      </w:r>
      <w:r w:rsidR="009932C7">
        <w:rPr>
          <w:lang w:val="ro-MD" w:eastAsia="ro-MD"/>
        </w:rPr>
        <w:t>va avea următorul cuprins:</w:t>
      </w:r>
    </w:p>
    <w:p w14:paraId="674CDBC0" w14:textId="6DE170B8" w:rsidR="009932C7" w:rsidRDefault="009932C7" w:rsidP="00C6746C">
      <w:pPr>
        <w:rPr>
          <w:lang w:val="ro-MD" w:eastAsia="ro-MD"/>
        </w:rPr>
      </w:pPr>
      <w:r>
        <w:rPr>
          <w:lang w:val="ro-MD" w:eastAsia="ro-MD"/>
        </w:rPr>
        <w:t>„</w:t>
      </w:r>
      <w:r w:rsidRPr="009932C7">
        <w:rPr>
          <w:lang w:val="ro-MD" w:eastAsia="ro-MD"/>
        </w:rPr>
        <w:t>1) instrumentele sunt emise sau, după caz, datoriile subordonate sunt obținute direct de o bancă și plătite integral. Doar partea instrumentului de capital care a fost plătită integral este eligibilă pentru a fi considerată instrument de fonduri proprii de nivel 2;</w:t>
      </w:r>
      <w:r>
        <w:rPr>
          <w:lang w:val="ro-MD" w:eastAsia="ro-MD"/>
        </w:rPr>
        <w:t>”;</w:t>
      </w:r>
    </w:p>
    <w:p w14:paraId="24A0AFFA" w14:textId="5B5AF4AA" w:rsidR="001236EA" w:rsidRDefault="00976660" w:rsidP="00FF10CA">
      <w:pPr>
        <w:pStyle w:val="ListParagraph"/>
        <w:numPr>
          <w:ilvl w:val="2"/>
          <w:numId w:val="27"/>
        </w:numPr>
        <w:ind w:left="0" w:firstLine="567"/>
        <w:jc w:val="both"/>
        <w:rPr>
          <w:lang w:val="ro-MD" w:eastAsia="ro-MD"/>
        </w:rPr>
      </w:pPr>
      <w:r>
        <w:rPr>
          <w:lang w:val="ro-MD" w:eastAsia="ro-MD"/>
        </w:rPr>
        <w:t xml:space="preserve">la </w:t>
      </w:r>
      <w:r w:rsidR="009932C7" w:rsidRPr="009932C7">
        <w:rPr>
          <w:lang w:val="ro-MD" w:eastAsia="ro-MD"/>
        </w:rPr>
        <w:t>subpunctul 4)</w:t>
      </w:r>
      <w:r w:rsidR="00296927">
        <w:rPr>
          <w:lang w:val="ro-MD" w:eastAsia="ro-MD"/>
        </w:rPr>
        <w:t>,</w:t>
      </w:r>
      <w:r w:rsidR="009932C7" w:rsidRPr="009932C7">
        <w:rPr>
          <w:lang w:val="ro-MD" w:eastAsia="ro-MD"/>
        </w:rPr>
        <w:t xml:space="preserve"> </w:t>
      </w:r>
      <w:r w:rsidR="009932C7">
        <w:rPr>
          <w:lang w:val="ro-MD" w:eastAsia="ro-MD"/>
        </w:rPr>
        <w:t>cuvintele „</w:t>
      </w:r>
      <w:r w:rsidR="009932C7" w:rsidRPr="009932C7">
        <w:rPr>
          <w:lang w:val="ro-MD" w:eastAsia="ro-MD"/>
        </w:rPr>
        <w:t>în întregime subordonată creanțelor tuturor creditorilor</w:t>
      </w:r>
      <w:r w:rsidR="009932C7">
        <w:rPr>
          <w:lang w:val="ro-MD" w:eastAsia="ro-MD"/>
        </w:rPr>
        <w:t xml:space="preserve"> </w:t>
      </w:r>
      <w:r w:rsidR="009932C7" w:rsidRPr="009932C7">
        <w:rPr>
          <w:lang w:val="ro-MD" w:eastAsia="ro-MD"/>
        </w:rPr>
        <w:t>nesubordonați</w:t>
      </w:r>
      <w:r w:rsidR="009932C7">
        <w:rPr>
          <w:lang w:val="ro-MD" w:eastAsia="ro-MD"/>
        </w:rPr>
        <w:t>” se substituie cu cuvintele „</w:t>
      </w:r>
      <w:r w:rsidR="009932C7" w:rsidRPr="009932C7">
        <w:rPr>
          <w:lang w:val="ro-MD" w:eastAsia="ro-MD"/>
        </w:rPr>
        <w:t>de rang inferior oricărei creanțe din instrumente de pasive eligibile</w:t>
      </w:r>
      <w:r w:rsidR="009932C7">
        <w:rPr>
          <w:lang w:val="ro-MD" w:eastAsia="ro-MD"/>
        </w:rPr>
        <w:t>”;</w:t>
      </w:r>
    </w:p>
    <w:p w14:paraId="73AB4097" w14:textId="7218DFF7" w:rsidR="009932C7" w:rsidRDefault="00976660" w:rsidP="00FF10CA">
      <w:pPr>
        <w:pStyle w:val="ListParagraph"/>
        <w:numPr>
          <w:ilvl w:val="2"/>
          <w:numId w:val="27"/>
        </w:numPr>
        <w:ind w:left="0" w:firstLine="567"/>
        <w:jc w:val="both"/>
        <w:rPr>
          <w:lang w:val="ro-MD" w:eastAsia="ro-MD"/>
        </w:rPr>
      </w:pPr>
      <w:r>
        <w:rPr>
          <w:lang w:val="ro-MD" w:eastAsia="ro-MD"/>
        </w:rPr>
        <w:t xml:space="preserve">la </w:t>
      </w:r>
      <w:r w:rsidR="009932C7">
        <w:rPr>
          <w:lang w:val="ro-MD" w:eastAsia="ro-MD"/>
        </w:rPr>
        <w:t>subpunctul 9)</w:t>
      </w:r>
      <w:r w:rsidR="00296927">
        <w:rPr>
          <w:lang w:val="ro-MD" w:eastAsia="ro-MD"/>
        </w:rPr>
        <w:t>,</w:t>
      </w:r>
      <w:r w:rsidR="009932C7">
        <w:rPr>
          <w:lang w:val="ro-MD" w:eastAsia="ro-MD"/>
        </w:rPr>
        <w:t xml:space="preserve"> cuvintele „</w:t>
      </w:r>
      <w:r w:rsidR="009932C7" w:rsidRPr="009932C7">
        <w:rPr>
          <w:lang w:val="ro-MD" w:eastAsia="ro-MD"/>
        </w:rPr>
        <w:t>cumpărare sau de restituire anticipată</w:t>
      </w:r>
      <w:r w:rsidR="009932C7">
        <w:rPr>
          <w:lang w:val="ro-MD" w:eastAsia="ro-MD"/>
        </w:rPr>
        <w:t>” se substituie cu cuvintele „</w:t>
      </w:r>
      <w:r w:rsidR="009932C7" w:rsidRPr="009932C7">
        <w:rPr>
          <w:lang w:val="ro-MD" w:eastAsia="ro-MD"/>
        </w:rPr>
        <w:t xml:space="preserve">rambursare anticipată, inclusiv opțiuni </w:t>
      </w:r>
      <w:r w:rsidR="00AC0417">
        <w:rPr>
          <w:lang w:val="ro-MD" w:eastAsia="ro-MD"/>
        </w:rPr>
        <w:t xml:space="preserve">de </w:t>
      </w:r>
      <w:r w:rsidR="00AC0417">
        <w:rPr>
          <w:lang w:val="ro-RO" w:eastAsia="ro-MD"/>
        </w:rPr>
        <w:t>cumpărare (</w:t>
      </w:r>
      <w:proofErr w:type="spellStart"/>
      <w:r w:rsidR="009932C7" w:rsidRPr="009932C7">
        <w:rPr>
          <w:lang w:val="ro-MD" w:eastAsia="ro-MD"/>
        </w:rPr>
        <w:t>cal</w:t>
      </w:r>
      <w:r w:rsidR="009932C7">
        <w:rPr>
          <w:lang w:val="ro-MD" w:eastAsia="ro-MD"/>
        </w:rPr>
        <w:t>l</w:t>
      </w:r>
      <w:proofErr w:type="spellEnd"/>
      <w:r w:rsidR="00AC0417">
        <w:rPr>
          <w:lang w:val="ro-MD" w:eastAsia="ro-MD"/>
        </w:rPr>
        <w:t>)</w:t>
      </w:r>
      <w:r w:rsidR="009932C7">
        <w:rPr>
          <w:lang w:val="ro-MD" w:eastAsia="ro-MD"/>
        </w:rPr>
        <w:t>”;</w:t>
      </w:r>
    </w:p>
    <w:p w14:paraId="670B5233" w14:textId="70ECA1E9" w:rsidR="009932C7" w:rsidRDefault="00976660" w:rsidP="00FF10CA">
      <w:pPr>
        <w:pStyle w:val="ListParagraph"/>
        <w:numPr>
          <w:ilvl w:val="2"/>
          <w:numId w:val="27"/>
        </w:numPr>
        <w:ind w:left="0" w:firstLine="567"/>
        <w:jc w:val="both"/>
        <w:rPr>
          <w:lang w:val="ro-MD" w:eastAsia="ro-MD"/>
        </w:rPr>
      </w:pPr>
      <w:r>
        <w:rPr>
          <w:lang w:val="ro-MD" w:eastAsia="ro-MD"/>
        </w:rPr>
        <w:t xml:space="preserve">la </w:t>
      </w:r>
      <w:r w:rsidR="006B43C1">
        <w:rPr>
          <w:lang w:val="ro-MD" w:eastAsia="ro-MD"/>
        </w:rPr>
        <w:t>subpunctul 10)</w:t>
      </w:r>
      <w:r w:rsidR="00296927">
        <w:rPr>
          <w:lang w:val="ro-MD" w:eastAsia="ro-MD"/>
        </w:rPr>
        <w:t>,</w:t>
      </w:r>
      <w:r w:rsidR="006B43C1">
        <w:rPr>
          <w:lang w:val="ro-MD" w:eastAsia="ro-MD"/>
        </w:rPr>
        <w:t xml:space="preserve"> cuvintele „aferente”, „anticipat” și „sau, după caz, a obținerii”</w:t>
      </w:r>
      <w:r>
        <w:rPr>
          <w:lang w:val="ro-MD" w:eastAsia="ro-MD"/>
        </w:rPr>
        <w:t xml:space="preserve"> se exclud</w:t>
      </w:r>
      <w:r w:rsidR="006B43C1">
        <w:rPr>
          <w:lang w:val="ro-MD" w:eastAsia="ro-MD"/>
        </w:rPr>
        <w:t>;</w:t>
      </w:r>
    </w:p>
    <w:p w14:paraId="08F6DDFA" w14:textId="77777777" w:rsidR="00C10110" w:rsidRDefault="00C10110" w:rsidP="00FF10CA">
      <w:pPr>
        <w:pStyle w:val="ListParagraph"/>
        <w:numPr>
          <w:ilvl w:val="2"/>
          <w:numId w:val="27"/>
        </w:numPr>
        <w:ind w:left="0" w:firstLine="567"/>
        <w:jc w:val="both"/>
        <w:rPr>
          <w:lang w:val="ro-MD" w:eastAsia="ro-MD"/>
        </w:rPr>
      </w:pPr>
      <w:r>
        <w:rPr>
          <w:lang w:val="ro-MD" w:eastAsia="ro-MD"/>
        </w:rPr>
        <w:t>subpunctul 14) va avea următorul cuprins:</w:t>
      </w:r>
    </w:p>
    <w:p w14:paraId="6AAE0AFC" w14:textId="372F0448" w:rsidR="00C10110" w:rsidRDefault="00C10110" w:rsidP="00C6746C">
      <w:pPr>
        <w:ind w:firstLine="567"/>
        <w:jc w:val="both"/>
        <w:rPr>
          <w:lang w:val="ro-MD" w:eastAsia="ro-MD"/>
        </w:rPr>
      </w:pPr>
      <w:r w:rsidRPr="00C10110">
        <w:rPr>
          <w:lang w:val="ro-MD" w:eastAsia="ro-MD"/>
        </w:rPr>
        <w:t xml:space="preserve">„14) în cazul </w:t>
      </w:r>
      <w:r w:rsidRPr="00C6746C">
        <w:rPr>
          <w:lang w:val="ro-MD" w:eastAsia="ro-MD"/>
        </w:rPr>
        <w:t>în care</w:t>
      </w:r>
      <w:r>
        <w:rPr>
          <w:lang w:val="ro-MD" w:eastAsia="ro-MD"/>
        </w:rPr>
        <w:t xml:space="preserve"> </w:t>
      </w:r>
      <w:r w:rsidRPr="00C10110">
        <w:rPr>
          <w:lang w:val="ro-MD" w:eastAsia="ro-MD"/>
        </w:rPr>
        <w:t xml:space="preserve">emitentul este stabilit într-o țară terță și a fost desemnat ca făcând parte dintr-un grup de rezoluție, a cărui entitate de rezoluție este stabilită în Republica Moldova sau într-un stat membru al Uniunii Europene, sau în cazul în care emitentul este stabilit într-un stat membru al Uniunii Europene, legislația sau dispozițiile contractuale care reglementează instrumentele impun ca, la decizia autorității de rezoluție de a exercita competențele de reducere a valorii contabile și de conversie menționate la </w:t>
      </w:r>
      <w:r w:rsidR="006A7883" w:rsidRPr="006A7883">
        <w:rPr>
          <w:lang w:val="ro-MD" w:eastAsia="ro-MD"/>
        </w:rPr>
        <w:t>articolele 219-225</w:t>
      </w:r>
      <w:r w:rsidR="000E37E8">
        <w:rPr>
          <w:lang w:val="ro-MD" w:eastAsia="ro-MD"/>
        </w:rPr>
        <w:t xml:space="preserve"> </w:t>
      </w:r>
      <w:r w:rsidRPr="00C10110">
        <w:rPr>
          <w:lang w:val="ro-MD" w:eastAsia="ro-MD"/>
        </w:rPr>
        <w:t>din Legea nr.232/2016, cuantumul principalului instrumentelor să fie redus în mod permanent sau instrumentele să fie convertite în instrumente de fonduri proprii de nivel 1 de bază;</w:t>
      </w:r>
      <w:r>
        <w:rPr>
          <w:lang w:val="ro-MD" w:eastAsia="ro-MD"/>
        </w:rPr>
        <w:t>”;</w:t>
      </w:r>
    </w:p>
    <w:p w14:paraId="06664C1A" w14:textId="37BDE923" w:rsidR="00C10110" w:rsidRDefault="00C10110" w:rsidP="00FF10CA">
      <w:pPr>
        <w:pStyle w:val="ListParagraph"/>
        <w:numPr>
          <w:ilvl w:val="2"/>
          <w:numId w:val="27"/>
        </w:numPr>
        <w:ind w:left="0" w:firstLine="567"/>
        <w:jc w:val="both"/>
        <w:rPr>
          <w:lang w:val="ro-MD" w:eastAsia="ro-MD"/>
        </w:rPr>
      </w:pPr>
      <w:r>
        <w:rPr>
          <w:lang w:val="ro-MD" w:eastAsia="ro-MD"/>
        </w:rPr>
        <w:t>se completează cu subpunctele 15), 16) și 17) cu următorul cuprins:</w:t>
      </w:r>
    </w:p>
    <w:p w14:paraId="547F8D5A" w14:textId="5B2EEE41" w:rsidR="00440718" w:rsidRPr="00EB61FA" w:rsidRDefault="008A44F1" w:rsidP="00752FA2">
      <w:pPr>
        <w:jc w:val="both"/>
        <w:rPr>
          <w:lang w:val="ro-MD" w:eastAsia="ro-MD"/>
        </w:rPr>
      </w:pPr>
      <w:r>
        <w:rPr>
          <w:lang w:val="ro-MD" w:eastAsia="ro-MD"/>
        </w:rPr>
        <w:t>„</w:t>
      </w:r>
      <w:r w:rsidRPr="008A44F1">
        <w:rPr>
          <w:lang w:val="ro-MD" w:eastAsia="ro-MD"/>
        </w:rPr>
        <w:t>15) în cazul în care emitentul este stabilit într-o țară terță și nu a fost desemnat ca făcând parte dintr-un grup de rezoluție, a cărui entitate de rezoluție este stabilită într-un stat membru al Uniunii Europene, legislația sau dispozițiile contractuale care reglementează instrumentele impun ca, la decizia autorității relevante din țara terță, cuantumul principalului instrumentelor să fie redus în mod permanent sau instrumentele să fie convertite în instrumente de fonduri proprii de nivel 1 de bază;</w:t>
      </w:r>
    </w:p>
    <w:p w14:paraId="002CFFFE" w14:textId="393AE42B" w:rsidR="002E21F7" w:rsidRPr="002E21F7" w:rsidRDefault="002E21F7" w:rsidP="00752FA2">
      <w:pPr>
        <w:jc w:val="both"/>
        <w:rPr>
          <w:lang w:val="ro-MD" w:eastAsia="ro-MD"/>
        </w:rPr>
      </w:pPr>
      <w:r w:rsidRPr="002E21F7">
        <w:rPr>
          <w:lang w:val="ro-MD" w:eastAsia="ro-MD"/>
        </w:rPr>
        <w:t xml:space="preserve">16) în cazul în care emitentul este stabilit într-o țară terță și a fost desemnat ca făcând parte dintr-un grup de rezoluție, a cărui entitate de rezoluție este stabilită </w:t>
      </w:r>
      <w:r w:rsidRPr="002E21F7">
        <w:rPr>
          <w:lang w:val="ro-RO" w:eastAsia="ro-MD"/>
        </w:rPr>
        <w:t>în</w:t>
      </w:r>
      <w:r w:rsidRPr="002E21F7">
        <w:rPr>
          <w:lang w:val="ro-MD" w:eastAsia="ro-MD"/>
        </w:rPr>
        <w:t xml:space="preserve"> Republica Moldova sau într-un stat membru al Uniunii Europene, sau în cazul în care emitentul este stabilit într-un stat membru al Uniunii Europene, instrumentele pot fi emise în temeiul legislației unei țări terțe sau pot face în alt mod obiectul legislației unei țări terțe numai dacă, în temeiul legislației respective, exercitarea competențelor de reducere a valorii contabile și de conversie menționate la </w:t>
      </w:r>
      <w:r w:rsidR="006A7883" w:rsidRPr="006A7883">
        <w:rPr>
          <w:lang w:val="ro-MD" w:eastAsia="ro-MD"/>
        </w:rPr>
        <w:t>articolele 219-225</w:t>
      </w:r>
      <w:r w:rsidR="000E37E8">
        <w:rPr>
          <w:lang w:val="ro-MD" w:eastAsia="ro-MD"/>
        </w:rPr>
        <w:t xml:space="preserve"> </w:t>
      </w:r>
      <w:r w:rsidRPr="002E21F7">
        <w:rPr>
          <w:lang w:val="ro-MD" w:eastAsia="ro-MD"/>
        </w:rPr>
        <w:t xml:space="preserve">din </w:t>
      </w:r>
      <w:r w:rsidRPr="002E21F7">
        <w:rPr>
          <w:lang w:val="ro-MD" w:eastAsia="ro-MD"/>
        </w:rPr>
        <w:lastRenderedPageBreak/>
        <w:t>Legea nr.232/2016 este efectivă și executorie în baza dispozițiilor statutare sau a dispozițiilor contractuale cu caracter executoriu din punct de vedere juridic care recunosc rezoluția sau alte acțiuni de reducere a valorii contabile sau de conversie;</w:t>
      </w:r>
    </w:p>
    <w:p w14:paraId="1B49BCE8" w14:textId="7F5CC7E5" w:rsidR="002E21F7" w:rsidRDefault="002E21F7" w:rsidP="002E21F7">
      <w:pPr>
        <w:jc w:val="both"/>
        <w:rPr>
          <w:lang w:val="ro-MD" w:eastAsia="ro-MD"/>
        </w:rPr>
      </w:pPr>
      <w:r w:rsidRPr="002E21F7">
        <w:rPr>
          <w:lang w:val="ro-MD" w:eastAsia="ro-MD"/>
        </w:rPr>
        <w:t>17) instrumentele nu fac obiectul unor acorduri de compensare sau de compensare reciprocă care le-ar afecta capacitatea de a absorbi pierderile.</w:t>
      </w:r>
      <w:r>
        <w:rPr>
          <w:lang w:val="ro-MD" w:eastAsia="ro-MD"/>
        </w:rPr>
        <w:t>”</w:t>
      </w:r>
    </w:p>
    <w:p w14:paraId="419C9357" w14:textId="10105A1B" w:rsidR="000E2704" w:rsidRDefault="002E21F7" w:rsidP="00E91829">
      <w:pPr>
        <w:pStyle w:val="ListParagraph"/>
        <w:numPr>
          <w:ilvl w:val="1"/>
          <w:numId w:val="27"/>
        </w:numPr>
        <w:spacing w:before="80"/>
        <w:ind w:left="0" w:firstLine="567"/>
        <w:contextualSpacing w:val="0"/>
        <w:jc w:val="both"/>
        <w:rPr>
          <w:lang w:val="ro-MD" w:eastAsia="ro-MD"/>
        </w:rPr>
      </w:pPr>
      <w:r>
        <w:rPr>
          <w:lang w:val="ro-MD" w:eastAsia="ro-MD"/>
        </w:rPr>
        <w:t>Se completează cu punctul 97</w:t>
      </w:r>
      <w:r>
        <w:rPr>
          <w:vertAlign w:val="superscript"/>
          <w:lang w:val="ro-MD" w:eastAsia="ro-MD"/>
        </w:rPr>
        <w:t>1</w:t>
      </w:r>
      <w:r>
        <w:rPr>
          <w:lang w:val="ro-MD" w:eastAsia="ro-MD"/>
        </w:rPr>
        <w:t xml:space="preserve"> cu următorul cuprins:</w:t>
      </w:r>
    </w:p>
    <w:p w14:paraId="48F9AB3C" w14:textId="50E7D2B7" w:rsidR="002E21F7" w:rsidRDefault="002E21F7" w:rsidP="002E21F7">
      <w:pPr>
        <w:jc w:val="both"/>
        <w:rPr>
          <w:lang w:val="ro-MD" w:eastAsia="ro-MD"/>
        </w:rPr>
      </w:pPr>
      <w:r>
        <w:rPr>
          <w:lang w:val="ro-MD" w:eastAsia="ro-MD"/>
        </w:rPr>
        <w:t>„</w:t>
      </w:r>
      <w:r w:rsidRPr="002E21F7">
        <w:rPr>
          <w:b/>
          <w:bCs/>
          <w:lang w:val="ro-MD" w:eastAsia="ro-MD"/>
        </w:rPr>
        <w:t>97</w:t>
      </w:r>
      <w:r w:rsidRPr="002E21F7">
        <w:rPr>
          <w:b/>
          <w:bCs/>
          <w:vertAlign w:val="superscript"/>
          <w:lang w:val="ro-MD" w:eastAsia="ro-MD"/>
        </w:rPr>
        <w:t>1</w:t>
      </w:r>
      <w:r w:rsidRPr="002E21F7">
        <w:rPr>
          <w:b/>
          <w:bCs/>
          <w:lang w:val="ro-MD" w:eastAsia="ro-MD"/>
        </w:rPr>
        <w:t xml:space="preserve">. </w:t>
      </w:r>
      <w:r w:rsidRPr="002E21F7">
        <w:rPr>
          <w:lang w:val="ro-MD" w:eastAsia="ro-MD"/>
        </w:rPr>
        <w:t>Cuantumul total al instrumentelor de fonduri proprii de nivel 2 cu o scadență reziduală mai mare de cinci ani sunt considerate elemente de fonduri proprii de nivel 2.</w:t>
      </w:r>
      <w:r>
        <w:rPr>
          <w:lang w:val="ro-MD" w:eastAsia="ro-MD"/>
        </w:rPr>
        <w:t>”.</w:t>
      </w:r>
    </w:p>
    <w:p w14:paraId="4C4395F0" w14:textId="786C7F3D" w:rsidR="002E21F7" w:rsidRDefault="001077C1" w:rsidP="00E91829">
      <w:pPr>
        <w:pStyle w:val="ListParagraph"/>
        <w:numPr>
          <w:ilvl w:val="1"/>
          <w:numId w:val="27"/>
        </w:numPr>
        <w:spacing w:before="80"/>
        <w:ind w:left="0" w:firstLine="567"/>
        <w:contextualSpacing w:val="0"/>
        <w:jc w:val="both"/>
        <w:rPr>
          <w:lang w:val="ro-MD" w:eastAsia="ro-MD"/>
        </w:rPr>
      </w:pPr>
      <w:r>
        <w:rPr>
          <w:lang w:val="ro-MD" w:eastAsia="ro-MD"/>
        </w:rPr>
        <w:t>La p</w:t>
      </w:r>
      <w:r w:rsidR="002E21F7">
        <w:rPr>
          <w:lang w:val="ro-MD" w:eastAsia="ro-MD"/>
        </w:rPr>
        <w:t>unctul 98 subpunctul 1)</w:t>
      </w:r>
      <w:r w:rsidR="00296927">
        <w:rPr>
          <w:lang w:val="ro-MD" w:eastAsia="ro-MD"/>
        </w:rPr>
        <w:t>,</w:t>
      </w:r>
      <w:r w:rsidR="002E21F7">
        <w:rPr>
          <w:lang w:val="ro-MD" w:eastAsia="ro-MD"/>
        </w:rPr>
        <w:t xml:space="preserve"> cuvintele „cuantumul nominal al” se substituie cu cuvintele „</w:t>
      </w:r>
      <w:r w:rsidR="002E21F7" w:rsidRPr="002E21F7">
        <w:rPr>
          <w:lang w:val="ro-MD" w:eastAsia="ro-MD"/>
        </w:rPr>
        <w:t>valoarea contabilă a</w:t>
      </w:r>
      <w:r w:rsidR="002E21F7">
        <w:rPr>
          <w:lang w:val="ro-MD" w:eastAsia="ro-MD"/>
        </w:rPr>
        <w:t>”.</w:t>
      </w:r>
    </w:p>
    <w:p w14:paraId="46032B96" w14:textId="7753E8CC" w:rsidR="002E21F7" w:rsidRDefault="002E21F7" w:rsidP="00E91829">
      <w:pPr>
        <w:pStyle w:val="ListParagraph"/>
        <w:numPr>
          <w:ilvl w:val="1"/>
          <w:numId w:val="27"/>
        </w:numPr>
        <w:spacing w:before="80"/>
        <w:ind w:left="0" w:firstLine="567"/>
        <w:contextualSpacing w:val="0"/>
        <w:jc w:val="both"/>
        <w:rPr>
          <w:lang w:val="ro-MD" w:eastAsia="ro-MD"/>
        </w:rPr>
      </w:pPr>
      <w:r>
        <w:rPr>
          <w:lang w:val="ro-MD" w:eastAsia="ro-MD"/>
        </w:rPr>
        <w:t>Punctul 100 se completează cu subpunctul 5) cu următorul cuprins:</w:t>
      </w:r>
    </w:p>
    <w:p w14:paraId="23D2474B" w14:textId="77777777" w:rsidR="00F93D86" w:rsidRDefault="002E21F7" w:rsidP="00F93D86">
      <w:pPr>
        <w:jc w:val="both"/>
        <w:rPr>
          <w:lang w:val="ro-MD" w:eastAsia="ro-MD"/>
        </w:rPr>
      </w:pPr>
      <w:r>
        <w:rPr>
          <w:lang w:val="ro-MD" w:eastAsia="ro-MD"/>
        </w:rPr>
        <w:t>„</w:t>
      </w:r>
      <w:r w:rsidRPr="002E21F7">
        <w:rPr>
          <w:lang w:val="ro-MD" w:eastAsia="ro-MD"/>
        </w:rPr>
        <w:t>5) cuantumul elementelor care trebuie deduse din elementele de pasive eligibile, care depășește elementele de pasive eligibile ale băncii.</w:t>
      </w:r>
      <w:r>
        <w:rPr>
          <w:lang w:val="ro-MD" w:eastAsia="ro-MD"/>
        </w:rPr>
        <w:t>”.</w:t>
      </w:r>
    </w:p>
    <w:p w14:paraId="487D8E1A" w14:textId="248A3FDC" w:rsidR="00976660" w:rsidRDefault="002E21F7" w:rsidP="00E91829">
      <w:pPr>
        <w:pStyle w:val="ListParagraph"/>
        <w:numPr>
          <w:ilvl w:val="1"/>
          <w:numId w:val="27"/>
        </w:numPr>
        <w:spacing w:before="80"/>
        <w:ind w:left="0" w:firstLine="567"/>
        <w:contextualSpacing w:val="0"/>
        <w:jc w:val="both"/>
        <w:rPr>
          <w:lang w:val="ro-MD" w:eastAsia="ro-MD"/>
        </w:rPr>
      </w:pPr>
      <w:r w:rsidRPr="00F93D86">
        <w:rPr>
          <w:lang w:val="ro-MD" w:eastAsia="ro-MD"/>
        </w:rPr>
        <w:t xml:space="preserve">La punctul 104 subpunctul 1) litera a) va avea următorul cuprins: </w:t>
      </w:r>
    </w:p>
    <w:p w14:paraId="0C26D6DA" w14:textId="2017B4BE" w:rsidR="00F93D86" w:rsidRPr="00976660" w:rsidRDefault="002E21F7" w:rsidP="00976660">
      <w:pPr>
        <w:jc w:val="both"/>
        <w:rPr>
          <w:lang w:val="ro-MD" w:eastAsia="ro-MD"/>
        </w:rPr>
      </w:pPr>
      <w:r w:rsidRPr="00976660">
        <w:rPr>
          <w:lang w:val="ro-MD" w:eastAsia="ro-MD"/>
        </w:rPr>
        <w:t>„a) data scadenței poziției scurte este aceeași cu data scadenței poziției lungi sau survine după această dată sau scadența reziduală a poziției scurte este de cel puțin un an;”.</w:t>
      </w:r>
    </w:p>
    <w:p w14:paraId="65D21D09" w14:textId="07D8460E" w:rsidR="002E21F7" w:rsidRPr="00F93D86" w:rsidRDefault="00851D9C" w:rsidP="00E91829">
      <w:pPr>
        <w:pStyle w:val="ListParagraph"/>
        <w:numPr>
          <w:ilvl w:val="1"/>
          <w:numId w:val="27"/>
        </w:numPr>
        <w:spacing w:before="80"/>
        <w:ind w:left="0" w:firstLine="567"/>
        <w:contextualSpacing w:val="0"/>
        <w:jc w:val="both"/>
        <w:rPr>
          <w:lang w:val="ro-MD" w:eastAsia="ro-MD"/>
        </w:rPr>
      </w:pPr>
      <w:r>
        <w:rPr>
          <w:lang w:val="ro-MD" w:eastAsia="ro-MD"/>
        </w:rPr>
        <w:t>La p</w:t>
      </w:r>
      <w:r w:rsidR="002E21F7" w:rsidRPr="00F93D86">
        <w:rPr>
          <w:lang w:val="ro-MD" w:eastAsia="ro-MD"/>
        </w:rPr>
        <w:t>unctul 105 subpunctul 1)</w:t>
      </w:r>
      <w:r w:rsidR="00976660">
        <w:rPr>
          <w:lang w:val="ro-MD" w:eastAsia="ro-MD"/>
        </w:rPr>
        <w:t xml:space="preserve"> </w:t>
      </w:r>
      <w:r w:rsidR="002E21F7" w:rsidRPr="00F93D86">
        <w:rPr>
          <w:lang w:val="ro-MD" w:eastAsia="ro-MD"/>
        </w:rPr>
        <w:t>litera b)</w:t>
      </w:r>
      <w:r w:rsidR="00296927">
        <w:rPr>
          <w:lang w:val="ro-MD" w:eastAsia="ro-MD"/>
        </w:rPr>
        <w:t>,</w:t>
      </w:r>
      <w:r w:rsidR="002E21F7" w:rsidRPr="00F93D86">
        <w:rPr>
          <w:lang w:val="ro-MD" w:eastAsia="ro-MD"/>
        </w:rPr>
        <w:t xml:space="preserve"> textul „10) și 11)” se substituie cu textul „10) literele b) - e) și 11) - 13)”.</w:t>
      </w:r>
    </w:p>
    <w:p w14:paraId="6EAC3D8D" w14:textId="0F0428E2" w:rsidR="002E21F7" w:rsidRDefault="002E21F7" w:rsidP="00E91829">
      <w:pPr>
        <w:pStyle w:val="ListParagraph"/>
        <w:numPr>
          <w:ilvl w:val="1"/>
          <w:numId w:val="27"/>
        </w:numPr>
        <w:spacing w:before="80"/>
        <w:ind w:left="0" w:firstLine="567"/>
        <w:contextualSpacing w:val="0"/>
        <w:jc w:val="both"/>
        <w:rPr>
          <w:lang w:val="ro-MD" w:eastAsia="ro-MD"/>
        </w:rPr>
      </w:pPr>
      <w:r>
        <w:rPr>
          <w:lang w:val="ro-MD" w:eastAsia="ro-MD"/>
        </w:rPr>
        <w:t xml:space="preserve"> </w:t>
      </w:r>
      <w:r w:rsidR="00A30527">
        <w:rPr>
          <w:lang w:val="ro-MD" w:eastAsia="ro-MD"/>
        </w:rPr>
        <w:t xml:space="preserve">Se </w:t>
      </w:r>
      <w:r>
        <w:rPr>
          <w:lang w:val="ro-MD" w:eastAsia="ro-MD"/>
        </w:rPr>
        <w:t xml:space="preserve">completează cu </w:t>
      </w:r>
      <w:r w:rsidR="00F93D86">
        <w:rPr>
          <w:lang w:val="ro-MD" w:eastAsia="ro-MD"/>
        </w:rPr>
        <w:t>Capitolul V</w:t>
      </w:r>
      <w:r w:rsidR="00F93D86">
        <w:rPr>
          <w:vertAlign w:val="superscript"/>
          <w:lang w:val="ro-MD" w:eastAsia="ro-MD"/>
        </w:rPr>
        <w:t>1</w:t>
      </w:r>
      <w:r w:rsidR="00F93D86">
        <w:rPr>
          <w:lang w:val="ro-MD" w:eastAsia="ro-MD"/>
        </w:rPr>
        <w:t xml:space="preserve"> cu următorul cuprins:</w:t>
      </w:r>
    </w:p>
    <w:p w14:paraId="7EAC9502" w14:textId="3189DAED" w:rsidR="00F93D86" w:rsidRPr="00F93D86" w:rsidRDefault="00F93D86" w:rsidP="00F93D86">
      <w:pPr>
        <w:jc w:val="center"/>
        <w:rPr>
          <w:b/>
          <w:bCs/>
          <w:lang w:val="ro-MD" w:eastAsia="ro-MD"/>
        </w:rPr>
      </w:pPr>
      <w:r>
        <w:rPr>
          <w:lang w:val="ro-MD" w:eastAsia="ro-MD"/>
        </w:rPr>
        <w:t>„</w:t>
      </w:r>
      <w:r w:rsidRPr="00F93D86">
        <w:rPr>
          <w:b/>
          <w:bCs/>
          <w:lang w:val="ro-MD" w:eastAsia="ro-MD"/>
        </w:rPr>
        <w:t>Capitolul V</w:t>
      </w:r>
      <w:r w:rsidRPr="00F93D86">
        <w:rPr>
          <w:b/>
          <w:bCs/>
          <w:vertAlign w:val="superscript"/>
          <w:lang w:val="ro-MD" w:eastAsia="ro-MD"/>
        </w:rPr>
        <w:t>1</w:t>
      </w:r>
    </w:p>
    <w:p w14:paraId="3DDD71D3" w14:textId="77777777" w:rsidR="00F93D86" w:rsidRPr="00F93D86" w:rsidRDefault="00F93D86" w:rsidP="00F93D86">
      <w:pPr>
        <w:jc w:val="center"/>
        <w:rPr>
          <w:b/>
          <w:bCs/>
          <w:lang w:val="ro-MD" w:eastAsia="ro-MD"/>
        </w:rPr>
      </w:pPr>
      <w:r w:rsidRPr="00F93D86">
        <w:rPr>
          <w:b/>
          <w:bCs/>
          <w:lang w:val="ro-MD" w:eastAsia="ro-MD"/>
        </w:rPr>
        <w:t>PASIVE ELIGIBILE</w:t>
      </w:r>
    </w:p>
    <w:p w14:paraId="73BAF4EC" w14:textId="77777777" w:rsidR="00F93D86" w:rsidRPr="00F93D86" w:rsidRDefault="00F93D86" w:rsidP="00E91829">
      <w:pPr>
        <w:spacing w:before="80"/>
        <w:jc w:val="center"/>
        <w:rPr>
          <w:lang w:val="ro-MD" w:eastAsia="ro-MD"/>
        </w:rPr>
      </w:pPr>
      <w:r w:rsidRPr="00F93D86">
        <w:rPr>
          <w:b/>
          <w:bCs/>
          <w:i/>
          <w:iCs/>
          <w:lang w:val="ro-MD" w:eastAsia="ro-MD"/>
        </w:rPr>
        <w:t>Secțiunea 1</w:t>
      </w:r>
    </w:p>
    <w:p w14:paraId="665305D5" w14:textId="77777777" w:rsidR="00F93D86" w:rsidRPr="00F93D86" w:rsidRDefault="00F93D86" w:rsidP="00E91829">
      <w:pPr>
        <w:jc w:val="center"/>
        <w:rPr>
          <w:b/>
          <w:bCs/>
          <w:i/>
          <w:iCs/>
          <w:lang w:val="ro-MD" w:eastAsia="ro-MD"/>
        </w:rPr>
      </w:pPr>
      <w:r w:rsidRPr="00F93D86">
        <w:rPr>
          <w:b/>
          <w:bCs/>
          <w:i/>
          <w:iCs/>
          <w:lang w:val="ro-MD" w:eastAsia="ro-MD"/>
        </w:rPr>
        <w:t xml:space="preserve">Elemente și instrumente de pasive eligibile </w:t>
      </w:r>
    </w:p>
    <w:p w14:paraId="7DCFA47E" w14:textId="77777777" w:rsidR="00F93D86" w:rsidRPr="00F93D86" w:rsidRDefault="00F93D86" w:rsidP="00E91829">
      <w:pPr>
        <w:spacing w:before="80"/>
        <w:jc w:val="center"/>
        <w:rPr>
          <w:b/>
          <w:bCs/>
          <w:i/>
          <w:iCs/>
          <w:lang w:val="ro-MD" w:eastAsia="ro-MD"/>
        </w:rPr>
      </w:pPr>
      <w:r w:rsidRPr="00F93D86">
        <w:rPr>
          <w:b/>
          <w:bCs/>
          <w:i/>
          <w:iCs/>
          <w:lang w:val="ro-MD" w:eastAsia="ro-MD"/>
        </w:rPr>
        <w:t>Subsecțiunea 1</w:t>
      </w:r>
    </w:p>
    <w:p w14:paraId="21E679B9" w14:textId="77777777" w:rsidR="00F93D86" w:rsidRPr="00F93D86" w:rsidRDefault="00F93D86" w:rsidP="00F93D86">
      <w:pPr>
        <w:jc w:val="center"/>
        <w:rPr>
          <w:b/>
          <w:bCs/>
          <w:i/>
          <w:iCs/>
          <w:lang w:val="ro-MD" w:eastAsia="ro-MD"/>
        </w:rPr>
      </w:pPr>
      <w:r w:rsidRPr="00F93D86">
        <w:rPr>
          <w:b/>
          <w:bCs/>
          <w:i/>
          <w:iCs/>
          <w:lang w:val="ro-MD" w:eastAsia="ro-MD"/>
        </w:rPr>
        <w:t xml:space="preserve">Elemente de pasive eligibile </w:t>
      </w:r>
    </w:p>
    <w:p w14:paraId="0A2A4E92"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w:t>
      </w:r>
      <w:r w:rsidRPr="00F93D86">
        <w:rPr>
          <w:b/>
          <w:bCs/>
          <w:lang w:val="ro-MD" w:eastAsia="ro-MD"/>
        </w:rPr>
        <w:t>.</w:t>
      </w:r>
      <w:r w:rsidRPr="00F93D86">
        <w:rPr>
          <w:lang w:val="ro-MD" w:eastAsia="ro-MD"/>
        </w:rPr>
        <w:t xml:space="preserve"> Elementele de pasive eligibile, cu excepția cazului în care aparțin uneia dintre categoriile de pasive excluse prevăzute la punctul 109</w:t>
      </w:r>
      <w:r w:rsidRPr="00F93D86">
        <w:rPr>
          <w:vertAlign w:val="superscript"/>
          <w:lang w:val="ro-MD" w:eastAsia="ro-MD"/>
        </w:rPr>
        <w:t>2</w:t>
      </w:r>
      <w:r w:rsidRPr="00F93D86">
        <w:rPr>
          <w:lang w:val="ro-MD" w:eastAsia="ro-MD"/>
        </w:rPr>
        <w:t xml:space="preserve"> și în măsura specificată la punctele 109</w:t>
      </w:r>
      <w:r w:rsidRPr="00F93D86">
        <w:rPr>
          <w:vertAlign w:val="superscript"/>
          <w:lang w:val="ro-MD" w:eastAsia="ro-MD"/>
        </w:rPr>
        <w:t>12</w:t>
      </w:r>
      <w:r w:rsidRPr="00F93D86">
        <w:rPr>
          <w:lang w:val="ro-MD" w:eastAsia="ro-MD"/>
        </w:rPr>
        <w:t>-109</w:t>
      </w:r>
      <w:r w:rsidRPr="00F93D86">
        <w:rPr>
          <w:vertAlign w:val="superscript"/>
          <w:lang w:val="ro-MD" w:eastAsia="ro-MD"/>
        </w:rPr>
        <w:t>16</w:t>
      </w:r>
      <w:r w:rsidRPr="00F93D86">
        <w:rPr>
          <w:lang w:val="ro-MD" w:eastAsia="ro-MD"/>
        </w:rPr>
        <w:t>, constau în:</w:t>
      </w:r>
    </w:p>
    <w:p w14:paraId="1414ED84" w14:textId="77777777" w:rsidR="00F93D86" w:rsidRPr="00F93D86" w:rsidRDefault="00F93D86" w:rsidP="001D1370">
      <w:pPr>
        <w:jc w:val="both"/>
        <w:rPr>
          <w:lang w:val="ro-MD" w:eastAsia="ro-MD"/>
        </w:rPr>
      </w:pPr>
      <w:r w:rsidRPr="00F93D86">
        <w:rPr>
          <w:lang w:val="ro-MD" w:eastAsia="ro-MD"/>
        </w:rPr>
        <w:t>1) instrumente de pasive eligibile în cazul în care sunt îndeplinite condițiile prevăzute la punctele 109</w:t>
      </w:r>
      <w:r w:rsidRPr="00F93D86">
        <w:rPr>
          <w:vertAlign w:val="superscript"/>
          <w:lang w:val="ro-MD" w:eastAsia="ro-MD"/>
        </w:rPr>
        <w:t>4</w:t>
      </w:r>
      <w:r w:rsidRPr="00F93D86">
        <w:rPr>
          <w:lang w:val="ro-MD" w:eastAsia="ro-MD"/>
        </w:rPr>
        <w:t>-109</w:t>
      </w:r>
      <w:r w:rsidRPr="00F93D86">
        <w:rPr>
          <w:vertAlign w:val="superscript"/>
          <w:lang w:val="ro-MD" w:eastAsia="ro-MD"/>
        </w:rPr>
        <w:t>11</w:t>
      </w:r>
      <w:r w:rsidRPr="00F93D86">
        <w:rPr>
          <w:lang w:val="ro-MD" w:eastAsia="ro-MD"/>
        </w:rPr>
        <w:t>, în măsura în care nu pot fi considerate elemente de fonduri proprii de nivel 1 de bază, elemente de fonduri proprii de nivel 1 suplimentar sau elemente de fonduri proprii de nivel 2;</w:t>
      </w:r>
    </w:p>
    <w:p w14:paraId="01E89675" w14:textId="4563DB89" w:rsidR="00F93D86" w:rsidRPr="00F93D86" w:rsidRDefault="00F93D86" w:rsidP="001D1370">
      <w:pPr>
        <w:jc w:val="both"/>
        <w:rPr>
          <w:lang w:val="ro-MD" w:eastAsia="ro-MD"/>
        </w:rPr>
      </w:pPr>
      <w:r w:rsidRPr="00F93D86">
        <w:rPr>
          <w:lang w:val="ro-MD" w:eastAsia="ro-MD"/>
        </w:rPr>
        <w:t xml:space="preserve">2) instrumente de fonduri proprii de nivel 2 cu o scadență reziduală de cel puțin un an, în măsura în care nu pot fi considerate elemente de fonduri proprii de nivel 2 în conformitate cu punctul 98. </w:t>
      </w:r>
    </w:p>
    <w:p w14:paraId="52E0AE24"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w:t>
      </w:r>
      <w:r w:rsidRPr="00F93D86">
        <w:rPr>
          <w:b/>
          <w:bCs/>
          <w:lang w:val="ro-MD" w:eastAsia="ro-MD"/>
        </w:rPr>
        <w:t>.</w:t>
      </w:r>
      <w:r w:rsidRPr="00F93D86">
        <w:rPr>
          <w:lang w:val="ro-MD" w:eastAsia="ro-MD"/>
        </w:rPr>
        <w:t xml:space="preserve"> Următoarele pasive sunt excluse din elementele de pasive eligibile:</w:t>
      </w:r>
    </w:p>
    <w:p w14:paraId="1085784B" w14:textId="4168D686" w:rsidR="00F93D86" w:rsidRPr="00F93D86" w:rsidRDefault="00F93D86" w:rsidP="001D1370">
      <w:pPr>
        <w:jc w:val="both"/>
        <w:rPr>
          <w:lang w:val="ro-MD" w:eastAsia="ro-MD"/>
        </w:rPr>
      </w:pPr>
      <w:r w:rsidRPr="00F93D86">
        <w:rPr>
          <w:lang w:val="ro-MD" w:eastAsia="ro-MD"/>
        </w:rPr>
        <w:t xml:space="preserve">1) depozitele </w:t>
      </w:r>
      <w:r w:rsidR="00985979">
        <w:rPr>
          <w:lang w:val="ro-MD" w:eastAsia="ro-MD"/>
        </w:rPr>
        <w:t>garantate</w:t>
      </w:r>
      <w:r w:rsidR="00985979" w:rsidRPr="00F93D86">
        <w:rPr>
          <w:lang w:val="ro-MD" w:eastAsia="ro-MD"/>
        </w:rPr>
        <w:t xml:space="preserve"> </w:t>
      </w:r>
      <w:r w:rsidRPr="00F93D86">
        <w:rPr>
          <w:lang w:val="ro-MD" w:eastAsia="ro-MD"/>
        </w:rPr>
        <w:t>conform</w:t>
      </w:r>
      <w:r w:rsidR="00C37E14" w:rsidRPr="00C37E14">
        <w:t xml:space="preserve"> </w:t>
      </w:r>
      <w:r w:rsidR="00C37E14" w:rsidRPr="00C37E14">
        <w:rPr>
          <w:lang w:val="ro-MD" w:eastAsia="ro-MD"/>
        </w:rPr>
        <w:t>Legii nr.160/2023 cu privire la garantarea depozitelor în bănci</w:t>
      </w:r>
      <w:r w:rsidR="009C1D15">
        <w:rPr>
          <w:rFonts w:eastAsia="Arial Unicode MS"/>
          <w:bCs/>
          <w:lang w:val="ro-RO"/>
        </w:rPr>
        <w:t xml:space="preserve"> </w:t>
      </w:r>
      <w:r w:rsidR="009C1D15" w:rsidRPr="00F32FBC">
        <w:rPr>
          <w:rFonts w:eastAsia="Arial Unicode MS"/>
          <w:bCs/>
          <w:lang w:val="ro-RO"/>
        </w:rPr>
        <w:t>(în continuare – Legea nr.160/2023)</w:t>
      </w:r>
      <w:r w:rsidRPr="00F93D86">
        <w:rPr>
          <w:lang w:val="ro-MD" w:eastAsia="ro-MD"/>
        </w:rPr>
        <w:t>;</w:t>
      </w:r>
      <w:r w:rsidRPr="00F93D86">
        <w:rPr>
          <w:sz w:val="18"/>
          <w:szCs w:val="18"/>
          <w:highlight w:val="lightGray"/>
          <w:lang w:val="ro-MD" w:eastAsia="ro-MD"/>
        </w:rPr>
        <w:t xml:space="preserve"> </w:t>
      </w:r>
    </w:p>
    <w:p w14:paraId="6B649E39" w14:textId="09BAB054" w:rsidR="00F93D86" w:rsidRPr="00F93D86" w:rsidRDefault="00F93D86" w:rsidP="001D1370">
      <w:pPr>
        <w:jc w:val="both"/>
        <w:rPr>
          <w:lang w:val="ro-MD" w:eastAsia="ro-MD"/>
        </w:rPr>
      </w:pPr>
      <w:r w:rsidRPr="00F93D86">
        <w:rPr>
          <w:lang w:val="ro-MD" w:eastAsia="ro-MD"/>
        </w:rPr>
        <w:t>2) depozitele la vedere și depozitele pe termen scurt cu o scadență inițială mai mică de un an;</w:t>
      </w:r>
      <w:r w:rsidRPr="00F93D86">
        <w:rPr>
          <w:sz w:val="18"/>
          <w:szCs w:val="18"/>
          <w:highlight w:val="lightGray"/>
          <w:lang w:val="ro-MD" w:eastAsia="ro-MD"/>
        </w:rPr>
        <w:t xml:space="preserve"> </w:t>
      </w:r>
    </w:p>
    <w:p w14:paraId="0E16EDC4" w14:textId="25CB38EB" w:rsidR="00F93D86" w:rsidRPr="00F93D86" w:rsidRDefault="00F93D86" w:rsidP="001D1370">
      <w:pPr>
        <w:jc w:val="both"/>
        <w:rPr>
          <w:lang w:val="ro-MD" w:eastAsia="ro-MD"/>
        </w:rPr>
      </w:pPr>
      <w:r w:rsidRPr="00F93D86">
        <w:rPr>
          <w:lang w:val="ro-MD" w:eastAsia="ro-MD"/>
        </w:rPr>
        <w:t>3) partea din depozitele eligibile ale persoanelor fizice, ale microîntreprinderilor și ale întreprinderilor mici și mijlocii care depășește nivelul de acoperire menționat în Legea nr.160/2023;</w:t>
      </w:r>
      <w:r w:rsidRPr="00F93D86">
        <w:rPr>
          <w:sz w:val="18"/>
          <w:szCs w:val="18"/>
          <w:highlight w:val="lightGray"/>
          <w:lang w:val="ro-MD" w:eastAsia="ro-MD"/>
        </w:rPr>
        <w:t xml:space="preserve"> </w:t>
      </w:r>
    </w:p>
    <w:p w14:paraId="20AC31D3" w14:textId="267A99F1" w:rsidR="00F93D86" w:rsidRPr="00F93D86" w:rsidRDefault="00F93D86" w:rsidP="001D1370">
      <w:pPr>
        <w:jc w:val="both"/>
        <w:rPr>
          <w:lang w:val="ro-MD" w:eastAsia="ro-MD"/>
        </w:rPr>
      </w:pPr>
      <w:r w:rsidRPr="00F93D86">
        <w:rPr>
          <w:lang w:val="ro-MD" w:eastAsia="ro-MD"/>
        </w:rPr>
        <w:t>4) depozitele care ar fi depozite eligibile ale persoanelor fizice, ale microîntreprinderilor și ale întreprinderilor mici și mijlocii dacă nu au fost constituite prin intermediul sucursalelor situate în afara Republicii Moldova sau statelor membre ale Uniunii Europene ale băncilor stabilite în Republica Moldova;</w:t>
      </w:r>
    </w:p>
    <w:p w14:paraId="09003948" w14:textId="5578CB78" w:rsidR="00F93D86" w:rsidRPr="00F93D86" w:rsidRDefault="00F93D86" w:rsidP="001D1370">
      <w:pPr>
        <w:jc w:val="both"/>
        <w:rPr>
          <w:lang w:val="ro-MD" w:eastAsia="ro-MD"/>
        </w:rPr>
      </w:pPr>
      <w:r w:rsidRPr="00F93D86">
        <w:rPr>
          <w:lang w:val="ro-MD" w:eastAsia="ro-MD"/>
        </w:rPr>
        <w:t xml:space="preserve">5) datoriile garantate, inclusiv obligațiunile garantate și pasivele sub formă de instrumente financiare utilizate în scopul acoperirii riscurilor, care constituie o parte integrantă a portofoliului de acoperire și care, în temeiul dreptului intern, sunt garantate în mod asemănător cu obligațiunile garantate, cu </w:t>
      </w:r>
      <w:r w:rsidRPr="00F93D86">
        <w:rPr>
          <w:lang w:val="ro-MD" w:eastAsia="ro-MD"/>
        </w:rPr>
        <w:lastRenderedPageBreak/>
        <w:t>condiția ca toate activele garantate asociate unui portofoliu de acoperire a obligațiunilor garantate să rămână neafectate, separate și cu fonduri suficiente și excluzând orice parte a unei datorii garantate sau a unei datorii acoperite prin garanții reale care depășește valoarea activelor, a gajului, a dreptului de retenție sau a garanției reale care o acoperă;</w:t>
      </w:r>
      <w:r w:rsidRPr="00F93D86">
        <w:rPr>
          <w:sz w:val="18"/>
          <w:szCs w:val="18"/>
          <w:highlight w:val="lightGray"/>
          <w:lang w:val="ro-MD" w:eastAsia="ro-MD"/>
        </w:rPr>
        <w:t xml:space="preserve"> </w:t>
      </w:r>
    </w:p>
    <w:p w14:paraId="68A23986" w14:textId="6E8D041C" w:rsidR="00F93D86" w:rsidRPr="00F93D86" w:rsidRDefault="00F93D86" w:rsidP="001D1370">
      <w:pPr>
        <w:jc w:val="both"/>
        <w:rPr>
          <w:lang w:val="ro-MD" w:eastAsia="ro-MD"/>
        </w:rPr>
      </w:pPr>
      <w:r w:rsidRPr="00F93D86">
        <w:rPr>
          <w:lang w:val="ro-MD" w:eastAsia="ro-MD"/>
        </w:rPr>
        <w:t>6) orice datorie care rezultă din deținerea de active ale clienților sau de bani ai clienților, inclusiv active ale clienților sau bani ai clienților deținuți în numele organismelor de plasament colectiv, cu condiția ca un astfel de client să fie protejat în temeiul legislației aplicabile în materie de insolvabilitate;</w:t>
      </w:r>
      <w:r w:rsidRPr="00F93D86">
        <w:rPr>
          <w:sz w:val="18"/>
          <w:szCs w:val="18"/>
          <w:highlight w:val="lightGray"/>
          <w:lang w:val="ro-MD" w:eastAsia="ro-MD"/>
        </w:rPr>
        <w:t xml:space="preserve"> </w:t>
      </w:r>
    </w:p>
    <w:p w14:paraId="3285B6A0" w14:textId="6E69417C" w:rsidR="00F93D86" w:rsidRPr="00F93D86" w:rsidRDefault="00F93D86" w:rsidP="001D1370">
      <w:pPr>
        <w:jc w:val="both"/>
        <w:rPr>
          <w:lang w:val="ro-MD" w:eastAsia="ro-MD"/>
        </w:rPr>
      </w:pPr>
      <w:r w:rsidRPr="00F93D86">
        <w:rPr>
          <w:lang w:val="ro-MD" w:eastAsia="ro-MD"/>
        </w:rPr>
        <w:t>7) orice datorie care rezultă din existența unei relații fiduciare între entitatea de rezoluție sau oricare dintre filialele acesteia (în calitate de fiduciar) și o altă persoană (în calitate de beneficiar), cu condiția ca respectivul beneficiar să fie protejat în temeiul legislației aplicabile în materie de insolvabilitate sau în materie civilă;</w:t>
      </w:r>
      <w:r w:rsidRPr="00F93D86">
        <w:rPr>
          <w:sz w:val="18"/>
          <w:szCs w:val="18"/>
          <w:highlight w:val="lightGray"/>
          <w:lang w:val="ro-MD" w:eastAsia="ro-MD"/>
        </w:rPr>
        <w:t xml:space="preserve"> </w:t>
      </w:r>
    </w:p>
    <w:p w14:paraId="4EBBF602" w14:textId="19C8C57F" w:rsidR="00F93D86" w:rsidRPr="00F93D86" w:rsidRDefault="00F93D86" w:rsidP="001D1370">
      <w:pPr>
        <w:jc w:val="both"/>
        <w:rPr>
          <w:lang w:val="ro-MD" w:eastAsia="ro-MD"/>
        </w:rPr>
      </w:pPr>
      <w:r w:rsidRPr="00F93D86">
        <w:rPr>
          <w:lang w:val="ro-MD" w:eastAsia="ro-MD"/>
        </w:rPr>
        <w:t>8) datoriile față de bănci, excluzând datoriile față de entitățile care fac parte din același grup, cu o scadență inițială mai mică de șapte zile;</w:t>
      </w:r>
      <w:r w:rsidRPr="00F93D86">
        <w:rPr>
          <w:sz w:val="18"/>
          <w:szCs w:val="18"/>
          <w:highlight w:val="lightGray"/>
          <w:lang w:val="ro-MD" w:eastAsia="ro-MD"/>
        </w:rPr>
        <w:t xml:space="preserve"> </w:t>
      </w:r>
    </w:p>
    <w:p w14:paraId="1BD99B6C" w14:textId="77777777" w:rsidR="00F93D86" w:rsidRPr="00F93D86" w:rsidRDefault="00F93D86" w:rsidP="001D1370">
      <w:pPr>
        <w:jc w:val="both"/>
        <w:rPr>
          <w:lang w:val="ro-MD" w:eastAsia="ro-MD"/>
        </w:rPr>
      </w:pPr>
      <w:r w:rsidRPr="00F93D86">
        <w:rPr>
          <w:lang w:val="ro-MD" w:eastAsia="ro-MD"/>
        </w:rPr>
        <w:t>9) datoriile cu o scadență reziduală mai mică de șapte zile, față de:</w:t>
      </w:r>
    </w:p>
    <w:p w14:paraId="062C38E8" w14:textId="77777777" w:rsidR="00F93D86" w:rsidRPr="00F93D86" w:rsidRDefault="00F93D86" w:rsidP="001D1370">
      <w:pPr>
        <w:jc w:val="both"/>
        <w:rPr>
          <w:lang w:val="ro-MD" w:eastAsia="ro-MD"/>
        </w:rPr>
      </w:pPr>
      <w:r w:rsidRPr="00F93D86">
        <w:rPr>
          <w:lang w:val="ro-MD" w:eastAsia="ro-MD"/>
        </w:rPr>
        <w:t>a) sisteme sau operatori de sisteme desemnați în conformitate cu Legea nr. 183/2016 cu privire la caracterul definitiv al decontării în sistemele de plăți și de decontare a instrumentelor financiare;</w:t>
      </w:r>
    </w:p>
    <w:p w14:paraId="698FD85F" w14:textId="77777777" w:rsidR="00F93D86" w:rsidRPr="00F93D86" w:rsidRDefault="00F93D86" w:rsidP="001D1370">
      <w:pPr>
        <w:jc w:val="both"/>
        <w:rPr>
          <w:lang w:val="ro-MD" w:eastAsia="ro-MD"/>
        </w:rPr>
      </w:pPr>
      <w:r w:rsidRPr="00F93D86">
        <w:rPr>
          <w:lang w:val="ro-MD" w:eastAsia="ro-MD"/>
        </w:rPr>
        <w:t>b) participanți la un anumit sistem, desemnați în conformitate cu Legea nr. 183/2016 cu privire la caracterul definitiv al decontării în sistemele de plăți și de decontare a instrumentelor financiare, și datorii care rezultă din participarea la un astfel de sistem; sau</w:t>
      </w:r>
    </w:p>
    <w:p w14:paraId="4E6CA846" w14:textId="37FE31FA" w:rsidR="00F93D86" w:rsidRPr="00F93D86" w:rsidRDefault="00F93D86" w:rsidP="001D1370">
      <w:pPr>
        <w:jc w:val="both"/>
        <w:rPr>
          <w:lang w:val="ro-MD" w:eastAsia="ro-MD"/>
        </w:rPr>
      </w:pPr>
      <w:r w:rsidRPr="00F93D86">
        <w:rPr>
          <w:lang w:val="ro-MD" w:eastAsia="ro-MD"/>
        </w:rPr>
        <w:t xml:space="preserve">c) </w:t>
      </w:r>
      <w:proofErr w:type="spellStart"/>
      <w:r w:rsidR="00AB6548">
        <w:rPr>
          <w:lang w:val="ro-MD" w:eastAsia="ro-MD"/>
        </w:rPr>
        <w:t>contrapăr</w:t>
      </w:r>
      <w:r w:rsidR="006F7543">
        <w:rPr>
          <w:lang w:val="ro-MD" w:eastAsia="ro-MD"/>
        </w:rPr>
        <w:t>ț</w:t>
      </w:r>
      <w:r w:rsidR="00AB6548">
        <w:rPr>
          <w:lang w:val="ro-MD" w:eastAsia="ro-MD"/>
        </w:rPr>
        <w:t>i</w:t>
      </w:r>
      <w:proofErr w:type="spellEnd"/>
      <w:r w:rsidR="00AB6548">
        <w:rPr>
          <w:lang w:val="ro-MD" w:eastAsia="ro-MD"/>
        </w:rPr>
        <w:t xml:space="preserve"> centrale (</w:t>
      </w:r>
      <w:r w:rsidRPr="00F93D86">
        <w:rPr>
          <w:lang w:val="ro-MD" w:eastAsia="ro-MD"/>
        </w:rPr>
        <w:t>CPC-uri</w:t>
      </w:r>
      <w:r w:rsidR="00AB6548">
        <w:rPr>
          <w:lang w:val="ro-MD" w:eastAsia="ro-MD"/>
        </w:rPr>
        <w:t>)</w:t>
      </w:r>
      <w:r w:rsidRPr="00F93D86">
        <w:rPr>
          <w:lang w:val="ro-MD" w:eastAsia="ro-MD"/>
        </w:rPr>
        <w:t xml:space="preserve"> din țări terțe, recunoscute în conformitate cu actele normative privind infrastructura pieței;</w:t>
      </w:r>
      <w:r w:rsidRPr="00F93D86">
        <w:rPr>
          <w:sz w:val="18"/>
          <w:szCs w:val="18"/>
          <w:highlight w:val="lightGray"/>
          <w:lang w:val="ro-MD" w:eastAsia="ro-MD"/>
        </w:rPr>
        <w:t xml:space="preserve"> </w:t>
      </w:r>
    </w:p>
    <w:p w14:paraId="3980779F" w14:textId="77777777" w:rsidR="00F93D86" w:rsidRPr="00F93D86" w:rsidRDefault="00F93D86" w:rsidP="001D1370">
      <w:pPr>
        <w:jc w:val="both"/>
        <w:rPr>
          <w:lang w:val="ro-MD" w:eastAsia="ro-MD"/>
        </w:rPr>
      </w:pPr>
      <w:r w:rsidRPr="00F93D86">
        <w:rPr>
          <w:lang w:val="ro-MD" w:eastAsia="ro-MD"/>
        </w:rPr>
        <w:t>10) o datorie față de:</w:t>
      </w:r>
    </w:p>
    <w:p w14:paraId="1079E1B6" w14:textId="77777777" w:rsidR="00F93D86" w:rsidRPr="00F93D86" w:rsidRDefault="00F93D86" w:rsidP="001D1370">
      <w:pPr>
        <w:jc w:val="both"/>
        <w:rPr>
          <w:lang w:val="ro-MD" w:eastAsia="ro-MD"/>
        </w:rPr>
      </w:pPr>
      <w:r w:rsidRPr="00F93D86">
        <w:rPr>
          <w:lang w:val="ro-MD" w:eastAsia="ro-MD"/>
        </w:rPr>
        <w:t>a) un angajat, în ceea ce privește salariile, beneficiile de tipul pensiilor sau alte forme de remunerație fixă acumulate, cu excepția componentei variabile a remunerației care nu este reglementată printr-un contract colectiv de muncă și cu excepția componentei variabile a remunerației personalului cu competențe pentru asumarea de riscuri substanțiale, astfel cum este menționat la articolul 39 din Legea nr.202/2017;</w:t>
      </w:r>
    </w:p>
    <w:p w14:paraId="2ED4B984" w14:textId="71E3F8E2" w:rsidR="00F93D86" w:rsidRPr="00F93D86" w:rsidRDefault="00F93D86" w:rsidP="001D1370">
      <w:pPr>
        <w:jc w:val="both"/>
        <w:rPr>
          <w:lang w:val="ro-MD" w:eastAsia="ro-MD"/>
        </w:rPr>
      </w:pPr>
      <w:r w:rsidRPr="00F93D86">
        <w:rPr>
          <w:lang w:val="ro-MD" w:eastAsia="ro-MD"/>
        </w:rPr>
        <w:t xml:space="preserve">b) un creditor comercial, atunci când datoria rezultă din furnizarea către </w:t>
      </w:r>
      <w:r w:rsidR="00DD4E90">
        <w:rPr>
          <w:lang w:val="ro-MD" w:eastAsia="ro-MD"/>
        </w:rPr>
        <w:t>banc</w:t>
      </w:r>
      <w:r w:rsidR="00DD4E90">
        <w:rPr>
          <w:lang w:val="ro-RO" w:eastAsia="ro-MD"/>
        </w:rPr>
        <w:t>ă</w:t>
      </w:r>
      <w:r w:rsidRPr="00F93D86">
        <w:rPr>
          <w:lang w:val="ro-MD" w:eastAsia="ro-MD"/>
        </w:rPr>
        <w:t xml:space="preserve"> sau către întreprinderea-mamă de mărfuri sau servicii care sunt cruciale pentru desfășurarea zilnică a activităților instituției sau ale întreprinderii-mamă, inclusiv servicii informatice, servicii de utilități, precum și închirierea, întreținerea și reparațiile spațiilor de lucru;</w:t>
      </w:r>
    </w:p>
    <w:p w14:paraId="31DDD1D9" w14:textId="77777777" w:rsidR="00F93D86" w:rsidRPr="00F93D86" w:rsidRDefault="00F93D86" w:rsidP="001D1370">
      <w:pPr>
        <w:jc w:val="both"/>
        <w:rPr>
          <w:lang w:val="ro-MD" w:eastAsia="ro-MD"/>
        </w:rPr>
      </w:pPr>
      <w:r w:rsidRPr="00F93D86">
        <w:rPr>
          <w:lang w:val="ro-MD" w:eastAsia="ro-MD"/>
        </w:rPr>
        <w:t>c) autorități fiscale și de asigurări sociale, cu condiția ca datoriile respective să fie considerate creanțe privilegiate în baza legislației aplicabile;</w:t>
      </w:r>
    </w:p>
    <w:p w14:paraId="25C843F5" w14:textId="17E939BE" w:rsidR="00F93D86" w:rsidRPr="00F93D86" w:rsidRDefault="00F93D86" w:rsidP="001D1370">
      <w:pPr>
        <w:jc w:val="both"/>
        <w:rPr>
          <w:lang w:val="ro-MD" w:eastAsia="ro-MD"/>
        </w:rPr>
      </w:pPr>
      <w:r w:rsidRPr="00F93D86">
        <w:rPr>
          <w:lang w:val="ro-MD" w:eastAsia="ro-MD"/>
        </w:rPr>
        <w:t>d) scheme de garantare a depozitelor, atunci când datoria rezultă din contribuțiile datorate în conformitate cu Legea nr.160/2023;</w:t>
      </w:r>
      <w:r w:rsidRPr="00F93D86">
        <w:rPr>
          <w:sz w:val="18"/>
          <w:szCs w:val="18"/>
          <w:highlight w:val="lightGray"/>
          <w:lang w:val="ro-MD" w:eastAsia="ro-MD"/>
        </w:rPr>
        <w:t xml:space="preserve"> </w:t>
      </w:r>
    </w:p>
    <w:p w14:paraId="0EE3C47B" w14:textId="04B74767" w:rsidR="00F93D86" w:rsidRPr="00F93D86" w:rsidRDefault="00F93D86" w:rsidP="001D1370">
      <w:pPr>
        <w:jc w:val="both"/>
        <w:rPr>
          <w:lang w:val="ro-MD" w:eastAsia="ro-MD"/>
        </w:rPr>
      </w:pPr>
      <w:r w:rsidRPr="00F93D86">
        <w:rPr>
          <w:lang w:val="ro-MD" w:eastAsia="ro-MD"/>
        </w:rPr>
        <w:t>11) datorii care provin din instrumente financiare derivate;</w:t>
      </w:r>
      <w:r w:rsidRPr="00F93D86">
        <w:rPr>
          <w:sz w:val="18"/>
          <w:szCs w:val="18"/>
          <w:highlight w:val="lightGray"/>
          <w:lang w:val="ro-MD" w:eastAsia="ro-MD"/>
        </w:rPr>
        <w:t xml:space="preserve"> </w:t>
      </w:r>
    </w:p>
    <w:p w14:paraId="52F5582E" w14:textId="4BB10C76" w:rsidR="00F93D86" w:rsidRPr="00F93D86" w:rsidRDefault="00F93D86" w:rsidP="001D1370">
      <w:pPr>
        <w:jc w:val="both"/>
        <w:rPr>
          <w:lang w:val="ro-MD" w:eastAsia="ro-MD"/>
        </w:rPr>
      </w:pPr>
      <w:r w:rsidRPr="00F93D86">
        <w:rPr>
          <w:lang w:val="ro-MD" w:eastAsia="ro-MD"/>
        </w:rPr>
        <w:t>12) datorii care provin din instrumente de datorie cu instrumente financiare derivate încorporate.</w:t>
      </w:r>
      <w:r w:rsidRPr="00F93D86">
        <w:rPr>
          <w:sz w:val="18"/>
          <w:szCs w:val="18"/>
          <w:highlight w:val="lightGray"/>
          <w:lang w:val="ro-MD" w:eastAsia="ro-MD"/>
        </w:rPr>
        <w:t xml:space="preserve"> </w:t>
      </w:r>
    </w:p>
    <w:p w14:paraId="2944D114" w14:textId="1411832E" w:rsidR="00F93D86" w:rsidRPr="00F93D86" w:rsidRDefault="00F93D86" w:rsidP="001D1370">
      <w:pPr>
        <w:jc w:val="both"/>
        <w:rPr>
          <w:sz w:val="18"/>
          <w:szCs w:val="18"/>
          <w:lang w:val="ro-MD" w:eastAsia="ro-MD"/>
        </w:rPr>
      </w:pPr>
      <w:r w:rsidRPr="00F93D86">
        <w:rPr>
          <w:b/>
          <w:bCs/>
          <w:lang w:val="ro-MD" w:eastAsia="ro-MD"/>
        </w:rPr>
        <w:t>109</w:t>
      </w:r>
      <w:r w:rsidRPr="00F93D86">
        <w:rPr>
          <w:b/>
          <w:bCs/>
          <w:vertAlign w:val="superscript"/>
          <w:lang w:val="ro-MD" w:eastAsia="ro-MD"/>
        </w:rPr>
        <w:t>3</w:t>
      </w:r>
      <w:r w:rsidRPr="00F93D86">
        <w:rPr>
          <w:b/>
          <w:bCs/>
          <w:lang w:val="ro-MD" w:eastAsia="ro-MD"/>
        </w:rPr>
        <w:t>.</w:t>
      </w:r>
      <w:r w:rsidRPr="00F93D86">
        <w:rPr>
          <w:lang w:val="ro-MD" w:eastAsia="ro-MD"/>
        </w:rPr>
        <w:t xml:space="preserve"> În sensul punctului 109</w:t>
      </w:r>
      <w:r w:rsidRPr="00F93D86">
        <w:rPr>
          <w:vertAlign w:val="superscript"/>
          <w:lang w:val="ro-MD" w:eastAsia="ro-MD"/>
        </w:rPr>
        <w:t>2</w:t>
      </w:r>
      <w:r w:rsidRPr="00F93D86">
        <w:rPr>
          <w:lang w:val="ro-MD" w:eastAsia="ro-MD"/>
        </w:rPr>
        <w:t xml:space="preserve"> subpunctul 12), instrumentele de datorie conținând opțiuni de răscumpărare anticipată care se exercită la discreția emitentului sau a deținătorului, precum și instrumentele de datorie cu dobânzi variabile derivate dintr-o rată de referință utilizată la scară largă, cum ar fi </w:t>
      </w:r>
      <w:proofErr w:type="spellStart"/>
      <w:r w:rsidRPr="00F93D86">
        <w:rPr>
          <w:lang w:val="ro-MD" w:eastAsia="ro-MD"/>
        </w:rPr>
        <w:t>Euribor</w:t>
      </w:r>
      <w:proofErr w:type="spellEnd"/>
      <w:r w:rsidRPr="00F93D86">
        <w:rPr>
          <w:lang w:val="ro-MD" w:eastAsia="ro-MD"/>
        </w:rPr>
        <w:t>, nu sunt considerate doar pe baza acestor caracteristici ca fiind instrumente de datorie cu instrumente financiare derivate încorporate.</w:t>
      </w:r>
    </w:p>
    <w:p w14:paraId="691F67E0" w14:textId="77777777" w:rsidR="00F93D86" w:rsidRPr="00F93D86" w:rsidRDefault="00F93D86" w:rsidP="00FF2FD6">
      <w:pPr>
        <w:spacing w:before="80"/>
        <w:jc w:val="center"/>
        <w:rPr>
          <w:b/>
          <w:bCs/>
          <w:i/>
          <w:iCs/>
          <w:lang w:val="ro-MD" w:eastAsia="ro-MD"/>
        </w:rPr>
      </w:pPr>
      <w:r w:rsidRPr="00F93D86">
        <w:rPr>
          <w:b/>
          <w:bCs/>
          <w:i/>
          <w:iCs/>
          <w:lang w:val="ro-MD" w:eastAsia="ro-MD"/>
        </w:rPr>
        <w:t>Subsecțiunea 2</w:t>
      </w:r>
    </w:p>
    <w:p w14:paraId="74E0DC21" w14:textId="77777777" w:rsidR="00F93D86" w:rsidRPr="00F93D86" w:rsidRDefault="00F93D86" w:rsidP="00F93D86">
      <w:pPr>
        <w:jc w:val="center"/>
        <w:rPr>
          <w:b/>
          <w:bCs/>
          <w:i/>
          <w:iCs/>
          <w:lang w:val="ro-MD" w:eastAsia="ro-MD"/>
        </w:rPr>
      </w:pPr>
      <w:r w:rsidRPr="00F93D86">
        <w:rPr>
          <w:b/>
          <w:bCs/>
          <w:i/>
          <w:iCs/>
          <w:lang w:val="ro-MD" w:eastAsia="ro-MD"/>
        </w:rPr>
        <w:t xml:space="preserve">Instrumente de pasive eligibile </w:t>
      </w:r>
    </w:p>
    <w:p w14:paraId="06470680" w14:textId="27C939AD"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4</w:t>
      </w:r>
      <w:r w:rsidRPr="00F93D86">
        <w:rPr>
          <w:b/>
          <w:bCs/>
          <w:lang w:val="ro-MD" w:eastAsia="ro-MD"/>
        </w:rPr>
        <w:t>.</w:t>
      </w:r>
      <w:r w:rsidRPr="00F93D86">
        <w:rPr>
          <w:lang w:val="ro-MD" w:eastAsia="ro-MD"/>
        </w:rPr>
        <w:t xml:space="preserve"> Datoriile sunt considerate instrumente de pasive eligibile dacă respectă condițiile prevăzute în prezenta </w:t>
      </w:r>
      <w:r w:rsidR="00643FDA">
        <w:rPr>
          <w:lang w:val="ro-MD" w:eastAsia="ro-MD"/>
        </w:rPr>
        <w:t>sub</w:t>
      </w:r>
      <w:r w:rsidRPr="00F93D86">
        <w:rPr>
          <w:lang w:val="ro-MD" w:eastAsia="ro-MD"/>
        </w:rPr>
        <w:t xml:space="preserve">secțiune și doar în măsura în care se specifică în prezenta </w:t>
      </w:r>
      <w:r w:rsidR="00643FDA">
        <w:rPr>
          <w:lang w:val="ro-MD" w:eastAsia="ro-MD"/>
        </w:rPr>
        <w:t>sub</w:t>
      </w:r>
      <w:r w:rsidRPr="00F93D86">
        <w:rPr>
          <w:lang w:val="ro-MD" w:eastAsia="ro-MD"/>
        </w:rPr>
        <w:t>secțiune.</w:t>
      </w:r>
      <w:r w:rsidRPr="00F93D86">
        <w:rPr>
          <w:sz w:val="18"/>
          <w:szCs w:val="18"/>
          <w:highlight w:val="lightGray"/>
          <w:lang w:val="ro-MD" w:eastAsia="ro-MD"/>
        </w:rPr>
        <w:t xml:space="preserve"> </w:t>
      </w:r>
    </w:p>
    <w:p w14:paraId="6DD102A3" w14:textId="478C2092" w:rsidR="00F93D86" w:rsidRPr="00F93D86" w:rsidRDefault="00F93D86" w:rsidP="001D1370">
      <w:pPr>
        <w:jc w:val="both"/>
        <w:rPr>
          <w:lang w:val="ro-MD" w:eastAsia="ro-MD"/>
        </w:rPr>
      </w:pPr>
      <w:r w:rsidRPr="00F93D86">
        <w:rPr>
          <w:b/>
          <w:bCs/>
          <w:lang w:val="ro-MD" w:eastAsia="ro-MD"/>
        </w:rPr>
        <w:lastRenderedPageBreak/>
        <w:t>109</w:t>
      </w:r>
      <w:r w:rsidRPr="00F93D86">
        <w:rPr>
          <w:b/>
          <w:bCs/>
          <w:vertAlign w:val="superscript"/>
          <w:lang w:val="ro-MD" w:eastAsia="ro-MD"/>
        </w:rPr>
        <w:t>5</w:t>
      </w:r>
      <w:r w:rsidRPr="00F93D86">
        <w:rPr>
          <w:b/>
          <w:bCs/>
          <w:lang w:val="ro-MD" w:eastAsia="ro-MD"/>
        </w:rPr>
        <w:t>.</w:t>
      </w:r>
      <w:r w:rsidRPr="00F93D86">
        <w:rPr>
          <w:lang w:val="ro-MD" w:eastAsia="ro-MD"/>
        </w:rPr>
        <w:t xml:space="preserve"> Datoriile sunt considerate instrumente de pasive eligibile dacă sunt îndeplinite cumulativ următoarel</w:t>
      </w:r>
      <w:r w:rsidR="00851058">
        <w:rPr>
          <w:lang w:val="ro-MD" w:eastAsia="ro-MD"/>
        </w:rPr>
        <w:t>e</w:t>
      </w:r>
      <w:r w:rsidRPr="00F93D86">
        <w:rPr>
          <w:lang w:val="ro-MD" w:eastAsia="ro-MD"/>
        </w:rPr>
        <w:t xml:space="preserve"> condiții:</w:t>
      </w:r>
    </w:p>
    <w:p w14:paraId="38A4F2F6" w14:textId="156B6A5A" w:rsidR="00851058" w:rsidRPr="00851058" w:rsidRDefault="00F93D86" w:rsidP="00851058">
      <w:pPr>
        <w:jc w:val="both"/>
        <w:rPr>
          <w:lang w:val="ro-MD" w:eastAsia="ro-MD"/>
        </w:rPr>
      </w:pPr>
      <w:r w:rsidRPr="00F93D86">
        <w:rPr>
          <w:lang w:val="ro-MD" w:eastAsia="ro-MD"/>
        </w:rPr>
        <w:t xml:space="preserve">1) </w:t>
      </w:r>
      <w:r w:rsidR="00851058" w:rsidRPr="00851058">
        <w:rPr>
          <w:lang w:val="ro-MD" w:eastAsia="ro-MD"/>
        </w:rPr>
        <w:t>datoriile sunt emise direct sau, după caz, obținute direct de o bancă și sunt plătite integral</w:t>
      </w:r>
      <w:r w:rsidR="00851058">
        <w:rPr>
          <w:lang w:val="ro-MD" w:eastAsia="ro-MD"/>
        </w:rPr>
        <w:t xml:space="preserve">. </w:t>
      </w:r>
      <w:r w:rsidR="00851058" w:rsidRPr="00851058">
        <w:rPr>
          <w:lang w:val="ro-MD" w:eastAsia="ro-MD"/>
        </w:rPr>
        <w:t>Doar părțile datoriilor care au fost plătite integral sunt eligibile să fie considerate instrumente de pasive eligibile;</w:t>
      </w:r>
    </w:p>
    <w:p w14:paraId="2B098A21" w14:textId="77777777" w:rsidR="00851058" w:rsidRPr="00851058" w:rsidRDefault="00851058" w:rsidP="00851058">
      <w:pPr>
        <w:jc w:val="both"/>
        <w:rPr>
          <w:lang w:val="ro-MD" w:eastAsia="ro-MD"/>
        </w:rPr>
      </w:pPr>
      <w:r w:rsidRPr="00851058">
        <w:rPr>
          <w:lang w:val="ro-MD" w:eastAsia="ro-MD"/>
        </w:rPr>
        <w:t>2) datoriile nu sunt deținute:</w:t>
      </w:r>
    </w:p>
    <w:p w14:paraId="2804E7C3" w14:textId="77777777" w:rsidR="00851058" w:rsidRPr="00851058" w:rsidRDefault="00851058" w:rsidP="00851058">
      <w:pPr>
        <w:jc w:val="both"/>
        <w:rPr>
          <w:lang w:val="ro-MD" w:eastAsia="ro-MD"/>
        </w:rPr>
      </w:pPr>
      <w:r w:rsidRPr="00851058">
        <w:rPr>
          <w:lang w:val="ro-MD" w:eastAsia="ro-MD"/>
        </w:rPr>
        <w:t>a) de către bancă sau de către o entitate inclusă în același grup de rezoluție;</w:t>
      </w:r>
    </w:p>
    <w:p w14:paraId="5F3BDA29" w14:textId="5662B7B6" w:rsidR="00851058" w:rsidRPr="00851058" w:rsidRDefault="00851058" w:rsidP="00851058">
      <w:pPr>
        <w:jc w:val="both"/>
        <w:rPr>
          <w:lang w:val="ro-MD" w:eastAsia="ro-MD"/>
        </w:rPr>
      </w:pPr>
      <w:r w:rsidRPr="00851058">
        <w:rPr>
          <w:lang w:val="ro-MD" w:eastAsia="ro-MD"/>
        </w:rPr>
        <w:t>b) de către o întreprindere în care banca deține o participație directă sau indirectă ce constă în deținerea, directă sau prin control, a cel puțin 20 % din drepturile de vot sau din capitalul întreprinderii respective;</w:t>
      </w:r>
    </w:p>
    <w:p w14:paraId="4CC6199E" w14:textId="70244DEB" w:rsidR="00851058" w:rsidRDefault="00851058" w:rsidP="00851058">
      <w:pPr>
        <w:jc w:val="both"/>
        <w:rPr>
          <w:lang w:val="ro-MD" w:eastAsia="ro-MD"/>
        </w:rPr>
      </w:pPr>
      <w:r w:rsidRPr="00851058">
        <w:rPr>
          <w:lang w:val="ro-MD" w:eastAsia="ro-MD"/>
        </w:rPr>
        <w:t>3) achiziționarea dreptului de proprietate asupra datoriilor nu este finanțată în mod direct sau indirect de entitatea de rezoluție;</w:t>
      </w:r>
    </w:p>
    <w:p w14:paraId="065F1284" w14:textId="42A5770D" w:rsidR="00F93D86" w:rsidRPr="00F93D86" w:rsidRDefault="00851058" w:rsidP="00851058">
      <w:pPr>
        <w:jc w:val="both"/>
        <w:rPr>
          <w:lang w:val="ro-MD" w:eastAsia="ro-MD"/>
        </w:rPr>
      </w:pPr>
      <w:r>
        <w:rPr>
          <w:lang w:val="ro-MD" w:eastAsia="ro-MD"/>
        </w:rPr>
        <w:t xml:space="preserve">4) </w:t>
      </w:r>
      <w:r w:rsidR="00F93D86" w:rsidRPr="00F93D86">
        <w:rPr>
          <w:lang w:val="ro-MD" w:eastAsia="ro-MD"/>
        </w:rPr>
        <w:t>creanța asupra principalului datoriilor, în temeiul dispozițiilor care reglementează instrumentele, este în întregime subordonată creanțelor care decurg din pasivele excluse menționate la punctul 109</w:t>
      </w:r>
      <w:r w:rsidR="00F93D86" w:rsidRPr="00F93D86">
        <w:rPr>
          <w:vertAlign w:val="superscript"/>
          <w:lang w:val="ro-MD" w:eastAsia="ro-MD"/>
        </w:rPr>
        <w:t>2</w:t>
      </w:r>
      <w:r w:rsidR="00F93D86" w:rsidRPr="00F93D86">
        <w:rPr>
          <w:lang w:val="ro-MD" w:eastAsia="ro-MD"/>
        </w:rPr>
        <w:t>. Cerința de subordonare este considerată a fi îndeplinită în oricare dintre următoarele situații:</w:t>
      </w:r>
    </w:p>
    <w:p w14:paraId="085609A1" w14:textId="65CA56AE" w:rsidR="00F93D86" w:rsidRPr="00F93D86" w:rsidRDefault="00F93D86" w:rsidP="001D1370">
      <w:pPr>
        <w:jc w:val="both"/>
        <w:rPr>
          <w:lang w:val="ro-MD" w:eastAsia="ro-MD"/>
        </w:rPr>
      </w:pPr>
      <w:r w:rsidRPr="00F93D86">
        <w:rPr>
          <w:lang w:val="ro-MD" w:eastAsia="ro-MD"/>
        </w:rPr>
        <w:t xml:space="preserve">a) în dispozițiile contractuale care reglementează datoriile se precizează că, în eventualitatea unor proceduri </w:t>
      </w:r>
      <w:r w:rsidR="00E04CC5">
        <w:rPr>
          <w:lang w:val="ro-MD" w:eastAsia="ro-MD"/>
        </w:rPr>
        <w:t xml:space="preserve">obișnuite </w:t>
      </w:r>
      <w:r w:rsidRPr="00F93D86">
        <w:rPr>
          <w:lang w:val="ro-MD" w:eastAsia="ro-MD"/>
        </w:rPr>
        <w:t xml:space="preserve">de </w:t>
      </w:r>
      <w:r w:rsidR="00E04CC5">
        <w:rPr>
          <w:lang w:val="ro-MD" w:eastAsia="ro-MD"/>
        </w:rPr>
        <w:t>insolvabilitate</w:t>
      </w:r>
      <w:r w:rsidRPr="00F93D86">
        <w:rPr>
          <w:lang w:val="ro-MD" w:eastAsia="ro-MD"/>
        </w:rPr>
        <w:t>, astfel cum sunt definite în Legea nr.232/2016, creanța asupra principalului instrumentelor este de rang inferior creanțelor provenite din oricare dintre pasivele excluse menționate la punctul 109</w:t>
      </w:r>
      <w:r w:rsidRPr="00F93D86">
        <w:rPr>
          <w:vertAlign w:val="superscript"/>
          <w:lang w:val="ro-MD" w:eastAsia="ro-MD"/>
        </w:rPr>
        <w:t>2</w:t>
      </w:r>
      <w:r w:rsidRPr="00F93D86">
        <w:rPr>
          <w:lang w:val="ro-MD" w:eastAsia="ro-MD"/>
        </w:rPr>
        <w:t>;</w:t>
      </w:r>
    </w:p>
    <w:p w14:paraId="67BC1763" w14:textId="77777777" w:rsidR="00F93D86" w:rsidRPr="00F93D86" w:rsidRDefault="00F93D86" w:rsidP="001D1370">
      <w:pPr>
        <w:jc w:val="both"/>
        <w:rPr>
          <w:lang w:val="ro-MD" w:eastAsia="ro-MD"/>
        </w:rPr>
      </w:pPr>
      <w:r w:rsidRPr="00F93D86">
        <w:rPr>
          <w:lang w:val="ro-MD" w:eastAsia="ro-MD"/>
        </w:rPr>
        <w:t>b) în legislația aplicabilă se precizează că, în eventualitatea unor proceduri de lichidare silită a băncii, astfel cum sunt definite în Legea nr.232/2016, creanța asupra principalului instrumentelor este de rang inferior creanțelor provenite din oricare dintre pasivele excluse menționate la punctul 109</w:t>
      </w:r>
      <w:r w:rsidRPr="00F93D86">
        <w:rPr>
          <w:vertAlign w:val="superscript"/>
          <w:lang w:val="ro-MD" w:eastAsia="ro-MD"/>
        </w:rPr>
        <w:t>2</w:t>
      </w:r>
      <w:r w:rsidRPr="00F93D86">
        <w:rPr>
          <w:lang w:val="ro-MD" w:eastAsia="ro-MD"/>
        </w:rPr>
        <w:t>;</w:t>
      </w:r>
    </w:p>
    <w:p w14:paraId="35DA301E" w14:textId="1E017443" w:rsidR="00F93D86" w:rsidRPr="00F93D86" w:rsidRDefault="00F93D86" w:rsidP="001D1370">
      <w:pPr>
        <w:jc w:val="both"/>
        <w:rPr>
          <w:lang w:val="ro-MD" w:eastAsia="ro-MD"/>
        </w:rPr>
      </w:pPr>
      <w:r w:rsidRPr="00F93D86">
        <w:rPr>
          <w:lang w:val="ro-MD" w:eastAsia="ro-MD"/>
        </w:rPr>
        <w:t>c) instrumentele sunt emise de o entitate de rezoluție în al cărei bilanț nu figurează pasive excluse, astfel cum sunt menționate la punctul 109</w:t>
      </w:r>
      <w:r w:rsidRPr="00F93D86">
        <w:rPr>
          <w:vertAlign w:val="superscript"/>
          <w:lang w:val="ro-MD" w:eastAsia="ro-MD"/>
        </w:rPr>
        <w:t>2</w:t>
      </w:r>
      <w:r w:rsidRPr="00F93D86">
        <w:rPr>
          <w:lang w:val="ro-MD" w:eastAsia="ro-MD"/>
        </w:rPr>
        <w:t>, care sunt de rang egal sau inferior instrumentelor de pasive eligibile;</w:t>
      </w:r>
      <w:r w:rsidRPr="00F93D86">
        <w:rPr>
          <w:sz w:val="18"/>
          <w:szCs w:val="18"/>
          <w:highlight w:val="lightGray"/>
          <w:lang w:val="ro-MD" w:eastAsia="ro-MD"/>
        </w:rPr>
        <w:t xml:space="preserve"> </w:t>
      </w:r>
    </w:p>
    <w:p w14:paraId="0E74D21B" w14:textId="1E6C42A8" w:rsidR="00F93D86" w:rsidRPr="00F93D86" w:rsidRDefault="00851058" w:rsidP="001D1370">
      <w:pPr>
        <w:jc w:val="both"/>
        <w:rPr>
          <w:lang w:val="ro-MD" w:eastAsia="ro-MD"/>
        </w:rPr>
      </w:pPr>
      <w:r>
        <w:rPr>
          <w:lang w:val="ro-MD" w:eastAsia="ro-MD"/>
        </w:rPr>
        <w:t>5</w:t>
      </w:r>
      <w:r w:rsidR="00F93D86" w:rsidRPr="00F93D86">
        <w:rPr>
          <w:lang w:val="ro-MD" w:eastAsia="ro-MD"/>
        </w:rPr>
        <w:t>) datoriile nu sunt garantate și nici nu fac obiectul unei garanții sau al unui alt acord care sporește rangul de prioritate la plată al creanței, de niciuna dintre următoarele:</w:t>
      </w:r>
    </w:p>
    <w:p w14:paraId="32AD1C2B" w14:textId="77777777" w:rsidR="00F93D86" w:rsidRPr="00F93D86" w:rsidRDefault="00F93D86" w:rsidP="001D1370">
      <w:pPr>
        <w:jc w:val="both"/>
        <w:rPr>
          <w:lang w:val="ro-MD" w:eastAsia="ro-MD"/>
        </w:rPr>
      </w:pPr>
      <w:r w:rsidRPr="00F93D86">
        <w:rPr>
          <w:lang w:val="ro-MD" w:eastAsia="ro-MD"/>
        </w:rPr>
        <w:t>a) banca sau filialele sale;</w:t>
      </w:r>
    </w:p>
    <w:p w14:paraId="361E669A" w14:textId="77777777" w:rsidR="00F93D86" w:rsidRPr="00F93D86" w:rsidRDefault="00F93D86" w:rsidP="001D1370">
      <w:pPr>
        <w:jc w:val="both"/>
        <w:rPr>
          <w:lang w:val="ro-MD" w:eastAsia="ro-MD"/>
        </w:rPr>
      </w:pPr>
      <w:r w:rsidRPr="00F93D86">
        <w:rPr>
          <w:lang w:val="ro-MD" w:eastAsia="ro-MD"/>
        </w:rPr>
        <w:t>b) întreprinderea-mamă a băncii sau filialele sale;</w:t>
      </w:r>
    </w:p>
    <w:p w14:paraId="4752F8A3" w14:textId="255BBF89" w:rsidR="00F93D86" w:rsidRPr="00F93D86" w:rsidRDefault="00F93D86" w:rsidP="001D1370">
      <w:pPr>
        <w:jc w:val="both"/>
        <w:rPr>
          <w:lang w:val="ro-MD" w:eastAsia="ro-MD"/>
        </w:rPr>
      </w:pPr>
      <w:r w:rsidRPr="00F93D86">
        <w:rPr>
          <w:lang w:val="ro-MD" w:eastAsia="ro-MD"/>
        </w:rPr>
        <w:t>c) orice întreprindere care are legături strânse cu entitățile menționate la literele a) și b);</w:t>
      </w:r>
      <w:r w:rsidRPr="00F93D86">
        <w:rPr>
          <w:sz w:val="18"/>
          <w:szCs w:val="18"/>
          <w:highlight w:val="lightGray"/>
          <w:lang w:val="ro-MD" w:eastAsia="ro-MD"/>
        </w:rPr>
        <w:t xml:space="preserve"> </w:t>
      </w:r>
    </w:p>
    <w:p w14:paraId="6230AEB9" w14:textId="2F84592B" w:rsidR="00851058" w:rsidRPr="00851058" w:rsidRDefault="00851058" w:rsidP="00851058">
      <w:pPr>
        <w:jc w:val="both"/>
        <w:rPr>
          <w:lang w:val="ro-MD" w:eastAsia="ro-MD"/>
        </w:rPr>
      </w:pPr>
      <w:r w:rsidRPr="00851058">
        <w:rPr>
          <w:lang w:val="ro-MD" w:eastAsia="ro-MD"/>
        </w:rPr>
        <w:t>6) datoriile nu fac obiectul unor acorduri de compensare sau de compensare reciprocă care le-ar afecta capacitatea de a absorbi pierderile în caz de rezoluție;</w:t>
      </w:r>
    </w:p>
    <w:p w14:paraId="00ABD9E9" w14:textId="341FCC52" w:rsidR="00851058" w:rsidRPr="00851058" w:rsidRDefault="00851058" w:rsidP="00851058">
      <w:pPr>
        <w:jc w:val="both"/>
        <w:rPr>
          <w:lang w:val="ro-MD" w:eastAsia="ro-MD"/>
        </w:rPr>
      </w:pPr>
      <w:r w:rsidRPr="00851058">
        <w:rPr>
          <w:lang w:val="ro-MD" w:eastAsia="ro-MD"/>
        </w:rPr>
        <w:t>7) dispozițiile care reglementează datoriile nu includ niciun stimulent pentru exercitarea unei opțiuni de cumpărare (</w:t>
      </w:r>
      <w:proofErr w:type="spellStart"/>
      <w:r w:rsidRPr="00851058">
        <w:rPr>
          <w:lang w:val="ro-MD" w:eastAsia="ro-MD"/>
        </w:rPr>
        <w:t>call</w:t>
      </w:r>
      <w:proofErr w:type="spellEnd"/>
      <w:r w:rsidRPr="00851058">
        <w:rPr>
          <w:lang w:val="ro-MD" w:eastAsia="ro-MD"/>
        </w:rPr>
        <w:t>) sau răscumpărarea înainte de scadență sau, după caz, rambursarea anticipată a principalului acestora de către bancă, cu excepția cazurilor menționate la punctul 109</w:t>
      </w:r>
      <w:r w:rsidRPr="00851058">
        <w:rPr>
          <w:vertAlign w:val="superscript"/>
          <w:lang w:val="ro-MD" w:eastAsia="ro-MD"/>
        </w:rPr>
        <w:t>15</w:t>
      </w:r>
      <w:r w:rsidRPr="00851058">
        <w:rPr>
          <w:lang w:val="ro-MD" w:eastAsia="ro-MD"/>
        </w:rPr>
        <w:t>;</w:t>
      </w:r>
    </w:p>
    <w:p w14:paraId="742A8B8E" w14:textId="5BD365EE" w:rsidR="00851058" w:rsidRDefault="00851058" w:rsidP="00851058">
      <w:pPr>
        <w:jc w:val="both"/>
        <w:rPr>
          <w:lang w:val="ro-MD" w:eastAsia="ro-MD"/>
        </w:rPr>
      </w:pPr>
      <w:r w:rsidRPr="00851058">
        <w:rPr>
          <w:lang w:val="ro-MD" w:eastAsia="ro-MD"/>
        </w:rPr>
        <w:t>8) datoriile nu sunt răscumpărabile de către deținătorii instrumentelor înainte de scadență, cu excepția cazurilor menționate la punctul 109</w:t>
      </w:r>
      <w:r w:rsidRPr="00851058">
        <w:rPr>
          <w:vertAlign w:val="superscript"/>
          <w:lang w:val="ro-MD" w:eastAsia="ro-MD"/>
        </w:rPr>
        <w:t>14</w:t>
      </w:r>
      <w:r w:rsidRPr="00851058">
        <w:rPr>
          <w:lang w:val="ro-MD" w:eastAsia="ro-MD"/>
        </w:rPr>
        <w:t>;</w:t>
      </w:r>
    </w:p>
    <w:p w14:paraId="5519651F" w14:textId="1689EABA" w:rsidR="00F93D86" w:rsidRDefault="00851058" w:rsidP="001D1370">
      <w:pPr>
        <w:jc w:val="both"/>
        <w:rPr>
          <w:sz w:val="18"/>
          <w:szCs w:val="18"/>
          <w:lang w:val="ro-MD" w:eastAsia="ro-MD"/>
        </w:rPr>
      </w:pPr>
      <w:r>
        <w:rPr>
          <w:lang w:val="ro-MD" w:eastAsia="ro-MD"/>
        </w:rPr>
        <w:t>9</w:t>
      </w:r>
      <w:r w:rsidR="00F93D86" w:rsidRPr="00F93D86">
        <w:rPr>
          <w:lang w:val="ro-MD" w:eastAsia="ro-MD"/>
        </w:rPr>
        <w:t>) sub rezerva punct</w:t>
      </w:r>
      <w:r w:rsidR="00A972E7">
        <w:rPr>
          <w:lang w:val="ro-MD" w:eastAsia="ro-MD"/>
        </w:rPr>
        <w:t>elor</w:t>
      </w:r>
      <w:r w:rsidR="00F93D86" w:rsidRPr="00F93D86">
        <w:rPr>
          <w:lang w:val="ro-MD" w:eastAsia="ro-MD"/>
        </w:rPr>
        <w:t xml:space="preserve"> 109</w:t>
      </w:r>
      <w:r w:rsidR="00F93D86" w:rsidRPr="00F93D86">
        <w:rPr>
          <w:vertAlign w:val="superscript"/>
          <w:lang w:val="ro-MD" w:eastAsia="ro-MD"/>
        </w:rPr>
        <w:t>15</w:t>
      </w:r>
      <w:r w:rsidR="00A972E7">
        <w:rPr>
          <w:lang w:val="ro-MD" w:eastAsia="ro-MD"/>
        </w:rPr>
        <w:t xml:space="preserve"> și </w:t>
      </w:r>
      <w:r w:rsidR="00F93D86" w:rsidRPr="00F93D86">
        <w:rPr>
          <w:lang w:val="ro-MD" w:eastAsia="ro-MD"/>
        </w:rPr>
        <w:t>109</w:t>
      </w:r>
      <w:r w:rsidR="00F93D86" w:rsidRPr="00F93D86">
        <w:rPr>
          <w:vertAlign w:val="superscript"/>
          <w:lang w:val="ro-MD" w:eastAsia="ro-MD"/>
        </w:rPr>
        <w:t>16</w:t>
      </w:r>
      <w:r w:rsidR="00F93D86" w:rsidRPr="00F93D86">
        <w:rPr>
          <w:lang w:val="ro-MD" w:eastAsia="ro-MD"/>
        </w:rPr>
        <w:t>, în cazul în care datoriile includ una sau mai multe opțiuni de rambursare anticipată, inclusiv opțiuni de cumpărare (</w:t>
      </w:r>
      <w:proofErr w:type="spellStart"/>
      <w:r w:rsidR="00F93D86" w:rsidRPr="00F67EFE">
        <w:rPr>
          <w:lang w:val="ro-MD" w:eastAsia="ro-MD"/>
        </w:rPr>
        <w:t>call</w:t>
      </w:r>
      <w:proofErr w:type="spellEnd"/>
      <w:r w:rsidR="00F93D86" w:rsidRPr="00F93D86">
        <w:rPr>
          <w:lang w:val="ro-MD" w:eastAsia="ro-MD"/>
        </w:rPr>
        <w:t>), opțiunile se exercită la discreția exclusivă a emitentului, cu excepția cazurilor prevăzute la punctul 109</w:t>
      </w:r>
      <w:r w:rsidR="00F93D86" w:rsidRPr="00F93D86">
        <w:rPr>
          <w:vertAlign w:val="superscript"/>
          <w:lang w:val="ro-MD" w:eastAsia="ro-MD"/>
        </w:rPr>
        <w:t>14</w:t>
      </w:r>
      <w:r w:rsidR="00F93D86" w:rsidRPr="00F93D86">
        <w:rPr>
          <w:lang w:val="ro-MD" w:eastAsia="ro-MD"/>
        </w:rPr>
        <w:t>;</w:t>
      </w:r>
      <w:r w:rsidR="00F93D86" w:rsidRPr="00F93D86">
        <w:rPr>
          <w:sz w:val="18"/>
          <w:szCs w:val="18"/>
          <w:highlight w:val="lightGray"/>
          <w:lang w:val="ro-MD" w:eastAsia="ro-MD"/>
        </w:rPr>
        <w:t xml:space="preserve"> </w:t>
      </w:r>
    </w:p>
    <w:p w14:paraId="79E8ACB5" w14:textId="6B0457BF" w:rsidR="00851058" w:rsidRPr="00851058" w:rsidRDefault="00851058" w:rsidP="00851058">
      <w:pPr>
        <w:jc w:val="both"/>
        <w:rPr>
          <w:lang w:val="ro-RO" w:eastAsia="ro-MD"/>
        </w:rPr>
      </w:pPr>
      <w:r w:rsidRPr="00851058">
        <w:rPr>
          <w:lang w:val="ro-RO" w:eastAsia="ro-MD"/>
        </w:rPr>
        <w:t>10) opțiunile de cumpărare (</w:t>
      </w:r>
      <w:proofErr w:type="spellStart"/>
      <w:r w:rsidRPr="00851058">
        <w:rPr>
          <w:lang w:val="ro-RO" w:eastAsia="ro-MD"/>
        </w:rPr>
        <w:t>call</w:t>
      </w:r>
      <w:proofErr w:type="spellEnd"/>
      <w:r w:rsidRPr="00851058">
        <w:rPr>
          <w:lang w:val="ro-RO" w:eastAsia="ro-MD"/>
        </w:rPr>
        <w:t>) pot fi exercitate și datoriile pot face obiectul unei răscumpărări sau rambursări anticipate numai dacă sunt îndeplinite condițiile prevăzute la punctele 119-119</w:t>
      </w:r>
      <w:r w:rsidRPr="00851058">
        <w:rPr>
          <w:vertAlign w:val="superscript"/>
          <w:lang w:val="ro-RO" w:eastAsia="ro-MD"/>
        </w:rPr>
        <w:t>1</w:t>
      </w:r>
      <w:r w:rsidRPr="00851058">
        <w:rPr>
          <w:lang w:val="ro-RO" w:eastAsia="ro-MD"/>
        </w:rPr>
        <w:t xml:space="preserve"> și 125</w:t>
      </w:r>
      <w:r w:rsidRPr="00851058">
        <w:rPr>
          <w:vertAlign w:val="superscript"/>
          <w:lang w:val="ro-RO" w:eastAsia="ro-MD"/>
        </w:rPr>
        <w:t>1</w:t>
      </w:r>
      <w:r w:rsidRPr="00851058">
        <w:rPr>
          <w:lang w:val="ro-RO" w:eastAsia="ro-MD"/>
        </w:rPr>
        <w:t>-125</w:t>
      </w:r>
      <w:r w:rsidRPr="00851058">
        <w:rPr>
          <w:vertAlign w:val="superscript"/>
          <w:lang w:val="ro-RO" w:eastAsia="ro-MD"/>
        </w:rPr>
        <w:t>3</w:t>
      </w:r>
      <w:r w:rsidRPr="00851058">
        <w:rPr>
          <w:lang w:val="ro-RO" w:eastAsia="ro-MD"/>
        </w:rPr>
        <w:t>;</w:t>
      </w:r>
    </w:p>
    <w:p w14:paraId="6E369A4E" w14:textId="77777777" w:rsidR="00851058" w:rsidRPr="00851058" w:rsidRDefault="00851058" w:rsidP="00851058">
      <w:pPr>
        <w:jc w:val="both"/>
        <w:rPr>
          <w:lang w:val="ro-RO" w:eastAsia="ro-MD"/>
        </w:rPr>
      </w:pPr>
      <w:r w:rsidRPr="00851058">
        <w:rPr>
          <w:lang w:val="ro-RO" w:eastAsia="ro-MD"/>
        </w:rPr>
        <w:t>11) dispozițiile care reglementează datoriile nu indică în mod explicit sau implicit că opțiunile de cumpărare (</w:t>
      </w:r>
      <w:proofErr w:type="spellStart"/>
      <w:r w:rsidRPr="00851058">
        <w:rPr>
          <w:lang w:val="ro-RO" w:eastAsia="ro-MD"/>
        </w:rPr>
        <w:t>call</w:t>
      </w:r>
      <w:proofErr w:type="spellEnd"/>
      <w:r w:rsidRPr="00851058">
        <w:rPr>
          <w:lang w:val="ro-RO" w:eastAsia="ro-MD"/>
        </w:rPr>
        <w:t>) ar fi exercitate sau datoriile ar face obiectul răscumpărării sau rambursării anticipate, după caz, de către entitatea de rezoluție în alte cazuri decât insolvabilitatea sau lichidarea băncii, iar banca nu face nicio altă mențiune în acest sens;</w:t>
      </w:r>
    </w:p>
    <w:p w14:paraId="3FCA9A99" w14:textId="77777777" w:rsidR="00851058" w:rsidRPr="00851058" w:rsidRDefault="00851058" w:rsidP="00851058">
      <w:pPr>
        <w:jc w:val="both"/>
        <w:rPr>
          <w:lang w:val="ro-RO" w:eastAsia="ro-MD"/>
        </w:rPr>
      </w:pPr>
      <w:r w:rsidRPr="00851058">
        <w:rPr>
          <w:lang w:val="ro-RO" w:eastAsia="ro-MD"/>
        </w:rPr>
        <w:lastRenderedPageBreak/>
        <w:t>12) dispozițiile care reglementează datoriile nu dau deținătorului dreptul de a accelera viitoarele plăți programate ale dobânzii sau principalului, decât în caz de insolvabilitate sau de lichidare a entității de rezoluție;</w:t>
      </w:r>
    </w:p>
    <w:p w14:paraId="5A99A796" w14:textId="77777777" w:rsidR="00851058" w:rsidRPr="00851058" w:rsidRDefault="00851058" w:rsidP="00851058">
      <w:pPr>
        <w:jc w:val="both"/>
        <w:rPr>
          <w:lang w:val="ro-RO" w:eastAsia="ro-MD"/>
        </w:rPr>
      </w:pPr>
      <w:r w:rsidRPr="00851058">
        <w:rPr>
          <w:lang w:val="ro-RO" w:eastAsia="ro-MD"/>
        </w:rPr>
        <w:t>13) nivelul plăților de dobânzi sau dividende, după caz, aferente datoriilor nu este modificat pe baza calității creditului entității de rezoluție sau a întreprinderii-mamă a acesteia;</w:t>
      </w:r>
    </w:p>
    <w:p w14:paraId="16F554E2" w14:textId="425209B1" w:rsidR="00851058" w:rsidRPr="00F93D86" w:rsidRDefault="00851058" w:rsidP="001D1370">
      <w:pPr>
        <w:jc w:val="both"/>
        <w:rPr>
          <w:lang w:val="ro-MD" w:eastAsia="ro-MD"/>
        </w:rPr>
      </w:pPr>
      <w:r w:rsidRPr="00851058">
        <w:rPr>
          <w:lang w:val="ro-RO" w:eastAsia="ro-MD"/>
        </w:rPr>
        <w:t>14) documentația contractuală relevantă și, dacă este cazul, prospectul referitor la emisiune fac trimitere în mod explicit la posibila exercitare a competențelor de reducere a valorii contabile și de conversie în conformitate cu art.219-225 din Legea nr.232/2016.</w:t>
      </w:r>
    </w:p>
    <w:p w14:paraId="4A494348" w14:textId="43FEB08B"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6</w:t>
      </w:r>
      <w:r w:rsidRPr="00F93D86">
        <w:rPr>
          <w:b/>
          <w:bCs/>
          <w:lang w:val="ro-MD" w:eastAsia="ro-MD"/>
        </w:rPr>
        <w:t xml:space="preserve">. </w:t>
      </w:r>
      <w:r w:rsidRPr="00F93D86">
        <w:rPr>
          <w:lang w:val="ro-MD" w:eastAsia="ro-MD"/>
        </w:rPr>
        <w:t>În sensul punctului 109</w:t>
      </w:r>
      <w:r w:rsidRPr="00F93D86">
        <w:rPr>
          <w:vertAlign w:val="superscript"/>
          <w:lang w:val="ro-MD" w:eastAsia="ro-MD"/>
        </w:rPr>
        <w:t>5</w:t>
      </w:r>
      <w:r w:rsidRPr="00F93D86">
        <w:rPr>
          <w:lang w:val="ro-MD" w:eastAsia="ro-MD"/>
        </w:rPr>
        <w:t xml:space="preserve"> subpunctul </w:t>
      </w:r>
      <w:r w:rsidR="00475B90">
        <w:rPr>
          <w:lang w:val="ro-MD" w:eastAsia="ro-MD"/>
        </w:rPr>
        <w:t>4</w:t>
      </w:r>
      <w:r w:rsidRPr="00F93D86">
        <w:rPr>
          <w:lang w:val="ro-MD" w:eastAsia="ro-MD"/>
        </w:rPr>
        <w:t>), în cazul în care o parte din pasivele excluse menționate la punctul 109</w:t>
      </w:r>
      <w:r w:rsidRPr="00F93D86">
        <w:rPr>
          <w:vertAlign w:val="superscript"/>
          <w:lang w:val="ro-MD" w:eastAsia="ro-MD"/>
        </w:rPr>
        <w:t>2</w:t>
      </w:r>
      <w:r w:rsidRPr="00F93D86">
        <w:rPr>
          <w:lang w:val="ro-MD" w:eastAsia="ro-MD"/>
        </w:rPr>
        <w:t xml:space="preserve"> sunt subordonate creanțelor negarantate obișnuite în temeiul Legii nr.550/1995</w:t>
      </w:r>
      <w:r w:rsidR="00506B55" w:rsidRPr="00506B55">
        <w:t xml:space="preserve"> </w:t>
      </w:r>
      <w:r w:rsidR="00506B55" w:rsidRPr="00506B55">
        <w:rPr>
          <w:lang w:val="ro-MD" w:eastAsia="ro-MD"/>
        </w:rPr>
        <w:t>cu privire la lichidarea băncilor</w:t>
      </w:r>
      <w:r w:rsidRPr="00F93D86">
        <w:rPr>
          <w:lang w:val="ro-MD" w:eastAsia="ro-MD"/>
        </w:rPr>
        <w:t>, printre altele, ca urmare a faptului că sunt deținute de un creditor care are relații strânse cu debitorul, întrucât creditorul este sau a fost acționar, se află într-o relație de control sau de grup, este membru al organului de conducere sau în legătură cu oricare dintre persoanele respective, subordonarea nu se evaluează prin raportare la creanțele care rezultă din aceste pasive excluse.</w:t>
      </w:r>
      <w:r w:rsidRPr="00F93D86">
        <w:rPr>
          <w:sz w:val="18"/>
          <w:szCs w:val="18"/>
          <w:highlight w:val="lightGray"/>
          <w:lang w:val="ro-MD" w:eastAsia="ro-MD"/>
        </w:rPr>
        <w:t xml:space="preserve"> </w:t>
      </w:r>
    </w:p>
    <w:p w14:paraId="77A70602" w14:textId="1CC7AF92"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7</w:t>
      </w:r>
      <w:r w:rsidRPr="00F93D86">
        <w:rPr>
          <w:b/>
          <w:bCs/>
          <w:lang w:val="ro-MD" w:eastAsia="ro-MD"/>
        </w:rPr>
        <w:t>.</w:t>
      </w:r>
      <w:r w:rsidRPr="00F93D86">
        <w:rPr>
          <w:lang w:val="ro-MD" w:eastAsia="ro-MD"/>
        </w:rPr>
        <w:t xml:space="preserve"> În plus față de datoriile menționate la punctul 109</w:t>
      </w:r>
      <w:r w:rsidRPr="00F93D86">
        <w:rPr>
          <w:vertAlign w:val="superscript"/>
          <w:lang w:val="ro-MD" w:eastAsia="ro-MD"/>
        </w:rPr>
        <w:t>5</w:t>
      </w:r>
      <w:r w:rsidRPr="00F93D86">
        <w:rPr>
          <w:lang w:val="ro-MD" w:eastAsia="ro-MD"/>
        </w:rPr>
        <w:t xml:space="preserve">, Banca Națională a Moldovei, în calitate de autoritate de rezoluție poate permite ca datoriile să fie considerate drept instrumente de pasive eligibile până la un cuantum agregat care nu depășește 3,5% din cuantumul total al expunerii la risc, cu condiția ca: </w:t>
      </w:r>
    </w:p>
    <w:p w14:paraId="5D9E674C" w14:textId="31E27F40" w:rsidR="00F93D86" w:rsidRPr="00F93D86" w:rsidRDefault="00F93D86" w:rsidP="001D1370">
      <w:pPr>
        <w:jc w:val="both"/>
        <w:rPr>
          <w:lang w:val="ro-MD" w:eastAsia="ro-MD"/>
        </w:rPr>
      </w:pPr>
      <w:r w:rsidRPr="00F93D86">
        <w:rPr>
          <w:lang w:val="ro-MD" w:eastAsia="ro-MD"/>
        </w:rPr>
        <w:t>1) toate condițiile prevăzute la punctele 109</w:t>
      </w:r>
      <w:r w:rsidRPr="00F93D86">
        <w:rPr>
          <w:vertAlign w:val="superscript"/>
          <w:lang w:val="ro-MD" w:eastAsia="ro-MD"/>
        </w:rPr>
        <w:t>5</w:t>
      </w:r>
      <w:r w:rsidRPr="00F93D86">
        <w:rPr>
          <w:lang w:val="ro-MD" w:eastAsia="ro-MD"/>
        </w:rPr>
        <w:t xml:space="preserve"> </w:t>
      </w:r>
      <w:r w:rsidR="00A972E7">
        <w:rPr>
          <w:lang w:val="ro-MD" w:eastAsia="ro-MD"/>
        </w:rPr>
        <w:t xml:space="preserve">și </w:t>
      </w:r>
      <w:r w:rsidRPr="00F93D86">
        <w:rPr>
          <w:lang w:val="ro-MD" w:eastAsia="ro-MD"/>
        </w:rPr>
        <w:t>109</w:t>
      </w:r>
      <w:r w:rsidRPr="00F93D86">
        <w:rPr>
          <w:vertAlign w:val="superscript"/>
          <w:lang w:val="ro-MD" w:eastAsia="ro-MD"/>
        </w:rPr>
        <w:t>6</w:t>
      </w:r>
      <w:r w:rsidRPr="00F93D86">
        <w:rPr>
          <w:lang w:val="ro-MD" w:eastAsia="ro-MD"/>
        </w:rPr>
        <w:t>, cu excepția condiției prevăzute la punctul 109</w:t>
      </w:r>
      <w:r w:rsidRPr="00F93D86">
        <w:rPr>
          <w:vertAlign w:val="superscript"/>
          <w:lang w:val="ro-MD" w:eastAsia="ro-MD"/>
        </w:rPr>
        <w:t>5</w:t>
      </w:r>
      <w:r w:rsidRPr="00F93D86">
        <w:rPr>
          <w:lang w:val="ro-MD" w:eastAsia="ro-MD"/>
        </w:rPr>
        <w:t xml:space="preserve"> subpunctul </w:t>
      </w:r>
      <w:r w:rsidR="00475B90">
        <w:rPr>
          <w:lang w:val="ro-MD" w:eastAsia="ro-MD"/>
        </w:rPr>
        <w:t>4</w:t>
      </w:r>
      <w:r w:rsidRPr="00F93D86">
        <w:rPr>
          <w:lang w:val="ro-MD" w:eastAsia="ro-MD"/>
        </w:rPr>
        <w:t>), să fie îndeplinite;</w:t>
      </w:r>
    </w:p>
    <w:p w14:paraId="20EDB018" w14:textId="77777777" w:rsidR="00F93D86" w:rsidRPr="00F93D86" w:rsidRDefault="00F93D86" w:rsidP="001D1370">
      <w:pPr>
        <w:jc w:val="both"/>
        <w:rPr>
          <w:lang w:val="ro-MD" w:eastAsia="ro-MD"/>
        </w:rPr>
      </w:pPr>
      <w:r w:rsidRPr="00F93D86">
        <w:rPr>
          <w:lang w:val="ro-MD" w:eastAsia="ro-MD"/>
        </w:rPr>
        <w:t>2) datoriile să fie de rang egal cu pasivele excluse de cel mai mic rang menționate la punctul 109</w:t>
      </w:r>
      <w:r w:rsidRPr="00F93D86">
        <w:rPr>
          <w:vertAlign w:val="superscript"/>
          <w:lang w:val="ro-MD" w:eastAsia="ro-MD"/>
        </w:rPr>
        <w:t>2</w:t>
      </w:r>
      <w:r w:rsidRPr="00F93D86">
        <w:rPr>
          <w:lang w:val="ro-MD" w:eastAsia="ro-MD"/>
        </w:rPr>
        <w:t>, cu excepția pasivelor excluse care sunt subordonate creanțelor negarantate obișnuite, menționate la punctul 109</w:t>
      </w:r>
      <w:r w:rsidRPr="00F93D86">
        <w:rPr>
          <w:vertAlign w:val="superscript"/>
          <w:lang w:val="ro-MD" w:eastAsia="ro-MD"/>
        </w:rPr>
        <w:t>6</w:t>
      </w:r>
      <w:r w:rsidRPr="00F93D86">
        <w:rPr>
          <w:lang w:val="ro-MD" w:eastAsia="ro-MD"/>
        </w:rPr>
        <w:t>; și</w:t>
      </w:r>
    </w:p>
    <w:p w14:paraId="59894842" w14:textId="1AC4CF1B" w:rsidR="00F93D86" w:rsidRPr="00F93D86" w:rsidRDefault="00F93D86" w:rsidP="001D1370">
      <w:pPr>
        <w:jc w:val="both"/>
        <w:rPr>
          <w:lang w:val="ro-MD" w:eastAsia="ro-MD"/>
        </w:rPr>
      </w:pPr>
      <w:r w:rsidRPr="00F93D86">
        <w:rPr>
          <w:lang w:val="ro-MD" w:eastAsia="ro-MD"/>
        </w:rPr>
        <w:t>3) includerea datoriilor respective în elementele de pasive eligibile să nu dea naștere la riscuri semnificative de contestații în justiție soluționate favorabil sau de cereri de despăgubire valabile, în conformitate cu evaluarea autorității de rezoluție în raport cu principi</w:t>
      </w:r>
      <w:r w:rsidR="008C4F78">
        <w:rPr>
          <w:lang w:val="ro-MD" w:eastAsia="ro-MD"/>
        </w:rPr>
        <w:t>u</w:t>
      </w:r>
      <w:r w:rsidRPr="00F93D86">
        <w:rPr>
          <w:lang w:val="ro-MD" w:eastAsia="ro-MD"/>
        </w:rPr>
        <w:t xml:space="preserve">l menționat la articolul 61, subpunctul (1), litera g) </w:t>
      </w:r>
      <w:r w:rsidRPr="00F93D86">
        <w:rPr>
          <w:lang w:val="ro-RO" w:eastAsia="ro-MD"/>
        </w:rPr>
        <w:t>și articolul 266 din Legea nr.232/2016</w:t>
      </w:r>
      <w:r w:rsidRPr="00F93D86">
        <w:rPr>
          <w:lang w:val="ro-MD" w:eastAsia="ro-MD"/>
        </w:rPr>
        <w:t>.</w:t>
      </w:r>
    </w:p>
    <w:p w14:paraId="02A5E705" w14:textId="0B4A022C"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8</w:t>
      </w:r>
      <w:r w:rsidRPr="00F93D86">
        <w:rPr>
          <w:b/>
          <w:bCs/>
          <w:lang w:val="ro-MD" w:eastAsia="ro-MD"/>
        </w:rPr>
        <w:t>.</w:t>
      </w:r>
      <w:r w:rsidRPr="00F93D86">
        <w:rPr>
          <w:lang w:val="ro-MD" w:eastAsia="ro-MD"/>
        </w:rPr>
        <w:t xml:space="preserve"> Banca Națională a Moldovei, în calitate de autoritate de rezoluție poate permite ca datoriile să fie considerate instrumente de pasive eligibile în plus față de datoriile menționate la punctele 109</w:t>
      </w:r>
      <w:r w:rsidRPr="00F93D86">
        <w:rPr>
          <w:vertAlign w:val="superscript"/>
          <w:lang w:val="ro-MD" w:eastAsia="ro-MD"/>
        </w:rPr>
        <w:t>5</w:t>
      </w:r>
      <w:r w:rsidR="00A972E7">
        <w:rPr>
          <w:lang w:val="ro-MD" w:eastAsia="ro-MD"/>
        </w:rPr>
        <w:t xml:space="preserve"> și </w:t>
      </w:r>
      <w:r w:rsidRPr="00F93D86">
        <w:rPr>
          <w:lang w:val="ro-MD" w:eastAsia="ro-MD"/>
        </w:rPr>
        <w:t>109</w:t>
      </w:r>
      <w:r w:rsidRPr="00F93D86">
        <w:rPr>
          <w:vertAlign w:val="superscript"/>
          <w:lang w:val="ro-MD" w:eastAsia="ro-MD"/>
        </w:rPr>
        <w:t>6</w:t>
      </w:r>
      <w:r w:rsidRPr="00F93D86">
        <w:rPr>
          <w:lang w:val="ro-MD" w:eastAsia="ro-MD"/>
        </w:rPr>
        <w:t>, cu condiția ca:</w:t>
      </w:r>
    </w:p>
    <w:p w14:paraId="319C5288" w14:textId="77777777" w:rsidR="00F93D86" w:rsidRPr="00F93D86" w:rsidRDefault="00F93D86" w:rsidP="001D1370">
      <w:pPr>
        <w:jc w:val="both"/>
        <w:rPr>
          <w:lang w:val="ro-MD" w:eastAsia="ro-MD"/>
        </w:rPr>
      </w:pPr>
      <w:r w:rsidRPr="00F93D86">
        <w:rPr>
          <w:lang w:val="ro-MD" w:eastAsia="ro-MD"/>
        </w:rPr>
        <w:t>1) banca să nu aibă permisiunea de a include în elementele de pasive eligibile datoriile menționate la punctul 109</w:t>
      </w:r>
      <w:r w:rsidRPr="00F93D86">
        <w:rPr>
          <w:vertAlign w:val="superscript"/>
          <w:lang w:val="ro-MD" w:eastAsia="ro-MD"/>
        </w:rPr>
        <w:t>7</w:t>
      </w:r>
      <w:r w:rsidRPr="00F93D86">
        <w:rPr>
          <w:lang w:val="ro-MD" w:eastAsia="ro-MD"/>
        </w:rPr>
        <w:t>;</w:t>
      </w:r>
    </w:p>
    <w:p w14:paraId="5516E939" w14:textId="4E8A5E03" w:rsidR="00F93D86" w:rsidRPr="00F93D86" w:rsidRDefault="00F93D86" w:rsidP="001D1370">
      <w:pPr>
        <w:jc w:val="both"/>
        <w:rPr>
          <w:lang w:val="ro-MD" w:eastAsia="ro-MD"/>
        </w:rPr>
      </w:pPr>
      <w:r w:rsidRPr="00F93D86">
        <w:rPr>
          <w:lang w:val="ro-MD" w:eastAsia="ro-MD"/>
        </w:rPr>
        <w:t>2) toate condițiile prevăzute la punctele 109</w:t>
      </w:r>
      <w:r w:rsidRPr="00F93D86">
        <w:rPr>
          <w:vertAlign w:val="superscript"/>
          <w:lang w:val="ro-MD" w:eastAsia="ro-MD"/>
        </w:rPr>
        <w:t>5</w:t>
      </w:r>
      <w:r w:rsidRPr="00F93D86">
        <w:rPr>
          <w:lang w:val="ro-MD" w:eastAsia="ro-MD"/>
        </w:rPr>
        <w:t xml:space="preserve"> </w:t>
      </w:r>
      <w:r w:rsidR="00A972E7">
        <w:rPr>
          <w:lang w:val="ro-MD" w:eastAsia="ro-MD"/>
        </w:rPr>
        <w:t xml:space="preserve">și </w:t>
      </w:r>
      <w:r w:rsidRPr="00F93D86">
        <w:rPr>
          <w:lang w:val="ro-MD" w:eastAsia="ro-MD"/>
        </w:rPr>
        <w:t>109</w:t>
      </w:r>
      <w:r w:rsidRPr="00F93D86">
        <w:rPr>
          <w:vertAlign w:val="superscript"/>
          <w:lang w:val="ro-MD" w:eastAsia="ro-MD"/>
        </w:rPr>
        <w:t>6</w:t>
      </w:r>
      <w:r w:rsidRPr="00F93D86">
        <w:rPr>
          <w:lang w:val="ro-MD" w:eastAsia="ro-MD"/>
        </w:rPr>
        <w:t>, cu excepția condiției prevăzute la punctul 109</w:t>
      </w:r>
      <w:r w:rsidRPr="00F93D86">
        <w:rPr>
          <w:vertAlign w:val="superscript"/>
          <w:lang w:val="ro-MD" w:eastAsia="ro-MD"/>
        </w:rPr>
        <w:t>5</w:t>
      </w:r>
      <w:r w:rsidRPr="00F93D86">
        <w:rPr>
          <w:lang w:val="ro-MD" w:eastAsia="ro-MD"/>
        </w:rPr>
        <w:t xml:space="preserve"> subpunctul </w:t>
      </w:r>
      <w:r w:rsidR="00475B90">
        <w:rPr>
          <w:lang w:val="ro-MD" w:eastAsia="ro-MD"/>
        </w:rPr>
        <w:t>4</w:t>
      </w:r>
      <w:r w:rsidRPr="00F93D86">
        <w:rPr>
          <w:lang w:val="ro-MD" w:eastAsia="ro-MD"/>
        </w:rPr>
        <w:t>), să fie îndeplinite;</w:t>
      </w:r>
    </w:p>
    <w:p w14:paraId="6AFE1AED" w14:textId="77777777" w:rsidR="00F93D86" w:rsidRPr="00F93D86" w:rsidRDefault="00F93D86" w:rsidP="001D1370">
      <w:pPr>
        <w:jc w:val="both"/>
        <w:rPr>
          <w:lang w:val="ro-MD" w:eastAsia="ro-MD"/>
        </w:rPr>
      </w:pPr>
      <w:r w:rsidRPr="00F93D86">
        <w:rPr>
          <w:lang w:val="ro-MD" w:eastAsia="ro-MD"/>
        </w:rPr>
        <w:t>3) datoriile să fie de rang egal sau superior față de pasivele excluse de cel mai mic rang menționate la punctul 109</w:t>
      </w:r>
      <w:r w:rsidRPr="00F93D86">
        <w:rPr>
          <w:vertAlign w:val="superscript"/>
          <w:lang w:val="ro-MD" w:eastAsia="ro-MD"/>
        </w:rPr>
        <w:t>2</w:t>
      </w:r>
      <w:r w:rsidRPr="00F93D86">
        <w:rPr>
          <w:lang w:val="ro-MD" w:eastAsia="ro-MD"/>
        </w:rPr>
        <w:t>, cu excepția pasivelor excluse subordonate creanțelor negarantate obișnuite, menționate la punctul 109</w:t>
      </w:r>
      <w:r w:rsidRPr="00F93D86">
        <w:rPr>
          <w:vertAlign w:val="superscript"/>
          <w:lang w:val="ro-MD" w:eastAsia="ro-MD"/>
        </w:rPr>
        <w:t>6</w:t>
      </w:r>
      <w:r w:rsidRPr="00F93D86">
        <w:rPr>
          <w:lang w:val="ro-MD" w:eastAsia="ro-MD"/>
        </w:rPr>
        <w:t>;</w:t>
      </w:r>
    </w:p>
    <w:p w14:paraId="315BF387" w14:textId="27948A25" w:rsidR="00F93D86" w:rsidRPr="00F93D86" w:rsidRDefault="00F93D86" w:rsidP="001D1370">
      <w:pPr>
        <w:jc w:val="both"/>
        <w:rPr>
          <w:lang w:val="ro-MD" w:eastAsia="ro-MD"/>
        </w:rPr>
      </w:pPr>
      <w:r w:rsidRPr="00F93D86">
        <w:rPr>
          <w:lang w:val="ro-MD" w:eastAsia="ro-MD"/>
        </w:rPr>
        <w:t>4) în bilanțul băncii, cuantumul pasivelor excluse menționate la punctul 109</w:t>
      </w:r>
      <w:r w:rsidRPr="00F93D86">
        <w:rPr>
          <w:vertAlign w:val="superscript"/>
          <w:lang w:val="ro-MD" w:eastAsia="ro-MD"/>
        </w:rPr>
        <w:t xml:space="preserve">2 </w:t>
      </w:r>
      <w:r w:rsidRPr="00F93D86">
        <w:rPr>
          <w:lang w:val="ro-MD" w:eastAsia="ro-MD"/>
        </w:rPr>
        <w:t>care sunt de rang egal sau mai mic decât datoriile respective în caz de insolvabilitate să nu depășească 5% din cuantumul fondurilor proprii și al pasivelor eligibile ale băncii;</w:t>
      </w:r>
    </w:p>
    <w:p w14:paraId="2F9A5E95" w14:textId="5403221E" w:rsidR="00F93D86" w:rsidRPr="00F93D86" w:rsidRDefault="00F93D86" w:rsidP="001D1370">
      <w:pPr>
        <w:jc w:val="both"/>
        <w:rPr>
          <w:lang w:val="ro-MD" w:eastAsia="ro-MD"/>
        </w:rPr>
      </w:pPr>
      <w:r w:rsidRPr="00F93D86">
        <w:rPr>
          <w:lang w:val="ro-MD" w:eastAsia="ro-MD"/>
        </w:rPr>
        <w:t>5) includerea datoriilor respective în elementele de pasive eligibile să nu dea naștere la un risc semnificativ de contestație în justiție soluționat favorabil sau de cereri de despăgubire valabile, în conformitate cu evaluarea autorității de rezoluție în raport cu principi</w:t>
      </w:r>
      <w:r w:rsidR="008C4F78">
        <w:rPr>
          <w:lang w:val="ro-MD" w:eastAsia="ro-MD"/>
        </w:rPr>
        <w:t>u</w:t>
      </w:r>
      <w:r w:rsidRPr="00F93D86">
        <w:rPr>
          <w:lang w:val="ro-MD" w:eastAsia="ro-MD"/>
        </w:rPr>
        <w:t xml:space="preserve">l menționat la articolul 61(1), litera g) și articolul 266 din Legea nr.232/2016. </w:t>
      </w:r>
      <w:r w:rsidRPr="00F93D86">
        <w:rPr>
          <w:sz w:val="18"/>
          <w:szCs w:val="18"/>
          <w:highlight w:val="lightGray"/>
          <w:lang w:val="ro-MD" w:eastAsia="ro-MD"/>
        </w:rPr>
        <w:t xml:space="preserve"> </w:t>
      </w:r>
    </w:p>
    <w:p w14:paraId="502B3A1E" w14:textId="67DE7D0D"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9</w:t>
      </w:r>
      <w:r w:rsidRPr="00F93D86">
        <w:rPr>
          <w:b/>
          <w:bCs/>
          <w:lang w:val="ro-MD" w:eastAsia="ro-MD"/>
        </w:rPr>
        <w:t>.</w:t>
      </w:r>
      <w:r w:rsidRPr="00F93D86">
        <w:rPr>
          <w:lang w:val="ro-MD" w:eastAsia="ro-MD"/>
        </w:rPr>
        <w:t xml:space="preserve"> Banca Națională a Moldovei, în calitate de autoritatea de rezoluție, poate permite unei bănci să includă datoriile menționate la punctele 109</w:t>
      </w:r>
      <w:r w:rsidRPr="00F93D86">
        <w:rPr>
          <w:vertAlign w:val="superscript"/>
          <w:lang w:val="ro-MD" w:eastAsia="ro-MD"/>
        </w:rPr>
        <w:t>7</w:t>
      </w:r>
      <w:r w:rsidRPr="00F93D86">
        <w:rPr>
          <w:lang w:val="ro-MD" w:eastAsia="ro-MD"/>
        </w:rPr>
        <w:t xml:space="preserve"> și 109</w:t>
      </w:r>
      <w:r w:rsidRPr="00F93D86">
        <w:rPr>
          <w:vertAlign w:val="superscript"/>
          <w:lang w:val="ro-MD" w:eastAsia="ro-MD"/>
        </w:rPr>
        <w:t>8</w:t>
      </w:r>
      <w:r w:rsidRPr="00F93D86">
        <w:rPr>
          <w:lang w:val="ro-MD" w:eastAsia="ro-MD"/>
        </w:rPr>
        <w:t xml:space="preserve"> doar ca elemente de pasive eligibile.</w:t>
      </w:r>
    </w:p>
    <w:p w14:paraId="25616F63" w14:textId="5F24D990" w:rsidR="00F93D86" w:rsidRPr="00F93D86" w:rsidRDefault="00F93D86" w:rsidP="001D1370">
      <w:pPr>
        <w:jc w:val="both"/>
        <w:rPr>
          <w:lang w:val="ro-MD" w:eastAsia="ro-MD"/>
        </w:rPr>
      </w:pPr>
      <w:r w:rsidRPr="00F93D86">
        <w:rPr>
          <w:b/>
          <w:bCs/>
          <w:lang w:val="ro-MD" w:eastAsia="ro-MD"/>
        </w:rPr>
        <w:lastRenderedPageBreak/>
        <w:t>109</w:t>
      </w:r>
      <w:r w:rsidRPr="00F93D86">
        <w:rPr>
          <w:b/>
          <w:bCs/>
          <w:vertAlign w:val="superscript"/>
          <w:lang w:val="ro-MD" w:eastAsia="ro-MD"/>
        </w:rPr>
        <w:t>10</w:t>
      </w:r>
      <w:r w:rsidRPr="00F93D86">
        <w:rPr>
          <w:b/>
          <w:bCs/>
          <w:lang w:val="ro-MD" w:eastAsia="ro-MD"/>
        </w:rPr>
        <w:t xml:space="preserve">. </w:t>
      </w:r>
      <w:r w:rsidRPr="00F93D86">
        <w:rPr>
          <w:lang w:val="ro-MD" w:eastAsia="ro-MD"/>
        </w:rPr>
        <w:t xml:space="preserve">Banca Națională a Moldovei se asigură că structura care exercită funcția de rezoluție și structura care exercită funcția de supraveghere se consultă reciproc atunci când examinează dacă sunt îndeplinite condițiile prevăzute în prezenta subsecțiune. </w:t>
      </w:r>
      <w:r w:rsidRPr="00F93D86">
        <w:rPr>
          <w:sz w:val="18"/>
          <w:szCs w:val="18"/>
          <w:highlight w:val="lightGray"/>
          <w:lang w:val="ro-MD" w:eastAsia="ro-MD"/>
        </w:rPr>
        <w:t xml:space="preserve"> </w:t>
      </w:r>
    </w:p>
    <w:p w14:paraId="25FADE51" w14:textId="1740C818"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11</w:t>
      </w:r>
      <w:r w:rsidRPr="00F93D86">
        <w:rPr>
          <w:b/>
          <w:bCs/>
          <w:lang w:val="ro-MD" w:eastAsia="ro-MD"/>
        </w:rPr>
        <w:t xml:space="preserve">. </w:t>
      </w:r>
      <w:r w:rsidRPr="00F93D86">
        <w:rPr>
          <w:lang w:val="ro-MD" w:eastAsia="ro-MD"/>
        </w:rPr>
        <w:t>Natura și formele aplicabile ale finanțării indirecte a instrumentelor de pasive eligibile sunt determinate în anexa 2.</w:t>
      </w:r>
      <w:r w:rsidRPr="00F93D86">
        <w:rPr>
          <w:sz w:val="18"/>
          <w:szCs w:val="18"/>
          <w:highlight w:val="lightGray"/>
          <w:lang w:val="ro-MD" w:eastAsia="ro-MD"/>
        </w:rPr>
        <w:t xml:space="preserve"> </w:t>
      </w:r>
    </w:p>
    <w:p w14:paraId="4EBA65DD" w14:textId="77777777" w:rsidR="00F93D86" w:rsidRPr="00F93D86" w:rsidRDefault="00F93D86" w:rsidP="00FF2FD6">
      <w:pPr>
        <w:spacing w:before="80"/>
        <w:jc w:val="center"/>
        <w:rPr>
          <w:b/>
          <w:bCs/>
          <w:i/>
          <w:iCs/>
          <w:lang w:val="ro-MD" w:eastAsia="ro-MD"/>
        </w:rPr>
      </w:pPr>
      <w:r w:rsidRPr="00F93D86">
        <w:rPr>
          <w:b/>
          <w:bCs/>
          <w:i/>
          <w:iCs/>
          <w:lang w:val="ro-MD" w:eastAsia="ro-MD"/>
        </w:rPr>
        <w:t>Subsecțiunea 3</w:t>
      </w:r>
    </w:p>
    <w:p w14:paraId="5FE2A6E0" w14:textId="77777777" w:rsidR="00F93D86" w:rsidRPr="00F93D86" w:rsidRDefault="00F93D86" w:rsidP="00F93D86">
      <w:pPr>
        <w:ind w:firstLine="567"/>
        <w:jc w:val="center"/>
        <w:rPr>
          <w:b/>
          <w:bCs/>
          <w:i/>
          <w:iCs/>
          <w:lang w:val="ro-MD" w:eastAsia="ro-MD"/>
        </w:rPr>
      </w:pPr>
      <w:r w:rsidRPr="00F93D86">
        <w:rPr>
          <w:b/>
          <w:bCs/>
          <w:i/>
          <w:iCs/>
          <w:lang w:val="ro-MD" w:eastAsia="ro-MD"/>
        </w:rPr>
        <w:t>Amortizarea instrumentelor de pasive eligibile</w:t>
      </w:r>
    </w:p>
    <w:p w14:paraId="58478E47" w14:textId="5DD31FCE"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12</w:t>
      </w:r>
      <w:r w:rsidRPr="00F93D86">
        <w:rPr>
          <w:b/>
          <w:bCs/>
          <w:lang w:val="ro-MD" w:eastAsia="ro-MD"/>
        </w:rPr>
        <w:t>.</w:t>
      </w:r>
      <w:r w:rsidRPr="00F93D86">
        <w:rPr>
          <w:lang w:val="ro-MD" w:eastAsia="ro-MD"/>
        </w:rPr>
        <w:t xml:space="preserve"> Instrumentele de pasive eligibile cu o scadență reziduală de cel puțin un an sunt considerate în întregime drept elemente de pasive eligibile. </w:t>
      </w:r>
    </w:p>
    <w:p w14:paraId="4C2A2324" w14:textId="21244BD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13</w:t>
      </w:r>
      <w:r w:rsidRPr="00F93D86">
        <w:rPr>
          <w:b/>
          <w:bCs/>
          <w:lang w:val="ro-MD" w:eastAsia="ro-MD"/>
        </w:rPr>
        <w:t>.</w:t>
      </w:r>
      <w:r w:rsidRPr="00F93D86">
        <w:rPr>
          <w:lang w:val="ro-MD" w:eastAsia="ro-MD"/>
        </w:rPr>
        <w:t xml:space="preserve"> Instrumentele de pasive eligibile cu o scadență reziduală mai mică de un an nu pot fi considerate elemente de pasive eligibile.</w:t>
      </w:r>
      <w:r w:rsidRPr="00F93D86">
        <w:rPr>
          <w:sz w:val="18"/>
          <w:szCs w:val="18"/>
          <w:highlight w:val="lightGray"/>
          <w:lang w:val="ro-MD" w:eastAsia="ro-MD"/>
        </w:rPr>
        <w:t xml:space="preserve"> </w:t>
      </w:r>
    </w:p>
    <w:p w14:paraId="079304C2" w14:textId="6E9B609D"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14</w:t>
      </w:r>
      <w:r w:rsidRPr="00F93D86">
        <w:rPr>
          <w:b/>
          <w:bCs/>
          <w:lang w:val="ro-MD" w:eastAsia="ro-MD"/>
        </w:rPr>
        <w:t>.</w:t>
      </w:r>
      <w:r w:rsidRPr="00F93D86">
        <w:rPr>
          <w:lang w:val="ro-MD" w:eastAsia="ro-MD"/>
        </w:rPr>
        <w:t xml:space="preserve"> În sensul punctelor 109</w:t>
      </w:r>
      <w:r w:rsidRPr="00F93D86">
        <w:rPr>
          <w:vertAlign w:val="superscript"/>
          <w:lang w:val="ro-MD" w:eastAsia="ro-MD"/>
        </w:rPr>
        <w:t>12</w:t>
      </w:r>
      <w:r w:rsidRPr="00F93D86">
        <w:rPr>
          <w:lang w:val="ro-MD" w:eastAsia="ro-MD"/>
        </w:rPr>
        <w:t>-109</w:t>
      </w:r>
      <w:r w:rsidRPr="00F93D86">
        <w:rPr>
          <w:vertAlign w:val="superscript"/>
          <w:lang w:val="ro-MD" w:eastAsia="ro-MD"/>
        </w:rPr>
        <w:t>13</w:t>
      </w:r>
      <w:r w:rsidRPr="00F93D86">
        <w:rPr>
          <w:lang w:val="ro-MD" w:eastAsia="ro-MD"/>
        </w:rPr>
        <w:t>, în cazul în care un instrument de pasive eligibile include o opțiune de răscumpărare de către titular care poate fi exercitată înainte de scadența stabilită inițial a instrumentului, scadența instrumentului este definită ca fiind cea mai apropiată dată posibilă la care titularul poate exercita opțiunea de răscumpărare și poate solicita răscumpărarea sau rambursarea instrumentului.</w:t>
      </w:r>
      <w:r w:rsidRPr="00F93D86">
        <w:rPr>
          <w:sz w:val="18"/>
          <w:szCs w:val="18"/>
          <w:highlight w:val="lightGray"/>
          <w:lang w:val="ro-MD" w:eastAsia="ro-MD"/>
        </w:rPr>
        <w:t xml:space="preserve"> </w:t>
      </w:r>
    </w:p>
    <w:p w14:paraId="2E2A3070" w14:textId="0E0A65F4"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15</w:t>
      </w:r>
      <w:r w:rsidRPr="00F93D86">
        <w:rPr>
          <w:b/>
          <w:bCs/>
          <w:lang w:val="ro-MD" w:eastAsia="ro-MD"/>
        </w:rPr>
        <w:t>.</w:t>
      </w:r>
      <w:r w:rsidRPr="00F93D86">
        <w:rPr>
          <w:lang w:val="ro-MD" w:eastAsia="ro-MD"/>
        </w:rPr>
        <w:t xml:space="preserve"> În sensul punctelor 109</w:t>
      </w:r>
      <w:r w:rsidRPr="00F93D86">
        <w:rPr>
          <w:vertAlign w:val="superscript"/>
          <w:lang w:val="ro-MD" w:eastAsia="ro-MD"/>
        </w:rPr>
        <w:t>12</w:t>
      </w:r>
      <w:r w:rsidRPr="00F93D86">
        <w:rPr>
          <w:lang w:val="ro-MD" w:eastAsia="ro-MD"/>
        </w:rPr>
        <w:t>-109</w:t>
      </w:r>
      <w:r w:rsidRPr="00F93D86">
        <w:rPr>
          <w:vertAlign w:val="superscript"/>
          <w:lang w:val="ro-MD" w:eastAsia="ro-MD"/>
        </w:rPr>
        <w:t>13</w:t>
      </w:r>
      <w:r w:rsidRPr="00F93D86">
        <w:rPr>
          <w:lang w:val="ro-MD" w:eastAsia="ro-MD"/>
        </w:rPr>
        <w:t xml:space="preserve">, în cazul în care un instrument de pasive eligibile include un stimulent pentru emitent de a exercita opțiunea </w:t>
      </w:r>
      <w:proofErr w:type="spellStart"/>
      <w:r w:rsidRPr="00F93D86">
        <w:rPr>
          <w:lang w:val="ro-MD" w:eastAsia="ro-MD"/>
        </w:rPr>
        <w:t>call</w:t>
      </w:r>
      <w:proofErr w:type="spellEnd"/>
      <w:r w:rsidRPr="00F93D86">
        <w:rPr>
          <w:lang w:val="ro-MD" w:eastAsia="ro-MD"/>
        </w:rPr>
        <w:t xml:space="preserve"> sau de a rambursa sau răscumpăra instrumentul înainte de scadența stabilită inițial a acestuia, scadența instrumentului este definită ca fiind cea mai apropiată dată posibilă la care emitentul poate exercita opțiunea respectivă și poate solicita răscumpărarea sau rambursarea în cazul instrumentului respectiv.</w:t>
      </w:r>
      <w:r w:rsidRPr="00F93D86">
        <w:rPr>
          <w:sz w:val="18"/>
          <w:szCs w:val="18"/>
          <w:highlight w:val="lightGray"/>
          <w:lang w:val="ro-MD" w:eastAsia="ro-MD"/>
        </w:rPr>
        <w:t xml:space="preserve"> </w:t>
      </w:r>
    </w:p>
    <w:p w14:paraId="239107BD" w14:textId="58BDFD99"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16</w:t>
      </w:r>
      <w:r w:rsidRPr="00F93D86">
        <w:rPr>
          <w:b/>
          <w:bCs/>
          <w:lang w:val="ro-MD" w:eastAsia="ro-MD"/>
        </w:rPr>
        <w:t>.</w:t>
      </w:r>
      <w:r w:rsidRPr="00F93D86">
        <w:rPr>
          <w:lang w:val="ro-MD" w:eastAsia="ro-MD"/>
        </w:rPr>
        <w:t xml:space="preserve"> În sensul punctelor 109</w:t>
      </w:r>
      <w:r w:rsidRPr="00F93D86">
        <w:rPr>
          <w:vertAlign w:val="superscript"/>
          <w:lang w:val="ro-MD" w:eastAsia="ro-MD"/>
        </w:rPr>
        <w:t>12</w:t>
      </w:r>
      <w:r w:rsidRPr="00F93D86">
        <w:rPr>
          <w:lang w:val="ro-MD" w:eastAsia="ro-MD"/>
        </w:rPr>
        <w:t>-109</w:t>
      </w:r>
      <w:r w:rsidRPr="00F93D86">
        <w:rPr>
          <w:vertAlign w:val="superscript"/>
          <w:lang w:val="ro-MD" w:eastAsia="ro-MD"/>
        </w:rPr>
        <w:t>13</w:t>
      </w:r>
      <w:r w:rsidRPr="00F93D86">
        <w:rPr>
          <w:lang w:val="ro-MD" w:eastAsia="ro-MD"/>
        </w:rPr>
        <w:t xml:space="preserve">, în cazul în care un instrument de pasive eligibile include opțiuni de răscumpărare anticipată care pot fi exercitate la discreția exclusivă a emitentului înainte de scadența stabilită inițial a instrumentului, însă dispozițiile care reglementează instrumentul nu includ niciun stimulent pentru exercitarea opțiunii </w:t>
      </w:r>
      <w:proofErr w:type="spellStart"/>
      <w:r w:rsidRPr="00F93D86">
        <w:rPr>
          <w:lang w:val="ro-MD" w:eastAsia="ro-MD"/>
        </w:rPr>
        <w:t>call</w:t>
      </w:r>
      <w:proofErr w:type="spellEnd"/>
      <w:r w:rsidRPr="00F93D86">
        <w:rPr>
          <w:lang w:val="ro-MD" w:eastAsia="ro-MD"/>
        </w:rPr>
        <w:t xml:space="preserve"> sau pentru răscumpărarea sau rambursarea înainte de scadență a instrumentului și nu includ nicio opțiune de răscumpărare sau rambursare la discreția deținătorilor, scadența instrumentului se definește ca fiind scadența stabilită inițial.</w:t>
      </w:r>
      <w:r w:rsidRPr="00F93D86">
        <w:rPr>
          <w:sz w:val="18"/>
          <w:szCs w:val="18"/>
          <w:highlight w:val="lightGray"/>
          <w:lang w:val="ro-MD" w:eastAsia="ro-MD"/>
        </w:rPr>
        <w:t xml:space="preserve"> </w:t>
      </w:r>
    </w:p>
    <w:p w14:paraId="0DE2A957" w14:textId="77777777" w:rsidR="00F93D86" w:rsidRPr="00F93D86" w:rsidRDefault="00F93D86" w:rsidP="00FF2FD6">
      <w:pPr>
        <w:spacing w:before="80"/>
        <w:jc w:val="center"/>
        <w:rPr>
          <w:b/>
          <w:bCs/>
          <w:i/>
          <w:iCs/>
          <w:lang w:val="ro-MD" w:eastAsia="ro-MD"/>
        </w:rPr>
      </w:pPr>
      <w:bookmarkStart w:id="14" w:name="_Hlk203488079"/>
      <w:r w:rsidRPr="00F93D86">
        <w:rPr>
          <w:b/>
          <w:bCs/>
          <w:i/>
          <w:iCs/>
          <w:lang w:val="ro-MD" w:eastAsia="ro-MD"/>
        </w:rPr>
        <w:t>Subsecțiunea 4</w:t>
      </w:r>
    </w:p>
    <w:bookmarkEnd w:id="14"/>
    <w:p w14:paraId="4B87339D" w14:textId="77777777" w:rsidR="00F93D86" w:rsidRPr="00F93D86" w:rsidRDefault="00F93D86" w:rsidP="00F93D86">
      <w:pPr>
        <w:jc w:val="center"/>
        <w:rPr>
          <w:lang w:val="ro-MD" w:eastAsia="ro-MD"/>
        </w:rPr>
      </w:pPr>
      <w:r w:rsidRPr="00F93D86">
        <w:rPr>
          <w:b/>
          <w:bCs/>
          <w:i/>
          <w:iCs/>
          <w:lang w:val="ro-MD" w:eastAsia="ro-MD"/>
        </w:rPr>
        <w:t>Consecințe ale încetării îndeplinirii condițiilor de eligibilitate</w:t>
      </w:r>
    </w:p>
    <w:p w14:paraId="0A1F9AC8" w14:textId="0BB6AF9A"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17</w:t>
      </w:r>
      <w:r w:rsidRPr="00F93D86">
        <w:rPr>
          <w:b/>
          <w:bCs/>
          <w:lang w:val="ro-MD" w:eastAsia="ro-MD"/>
        </w:rPr>
        <w:t xml:space="preserve">. </w:t>
      </w:r>
      <w:r w:rsidRPr="00F93D86">
        <w:rPr>
          <w:lang w:val="ro-MD" w:eastAsia="ro-MD"/>
        </w:rPr>
        <w:t>În cazul în care un instrument de pasive eligibile nu mai îndeplinește condițiile prevăzute la punctele 109</w:t>
      </w:r>
      <w:r w:rsidRPr="00F93D86">
        <w:rPr>
          <w:vertAlign w:val="superscript"/>
          <w:lang w:val="ro-MD" w:eastAsia="ro-MD"/>
        </w:rPr>
        <w:t>4</w:t>
      </w:r>
      <w:r w:rsidRPr="00F93D86">
        <w:rPr>
          <w:lang w:val="ro-MD" w:eastAsia="ro-MD"/>
        </w:rPr>
        <w:t>-109</w:t>
      </w:r>
      <w:r w:rsidRPr="00F93D86">
        <w:rPr>
          <w:vertAlign w:val="superscript"/>
          <w:lang w:val="ro-MD" w:eastAsia="ro-MD"/>
        </w:rPr>
        <w:t>11</w:t>
      </w:r>
      <w:r w:rsidRPr="00F93D86">
        <w:rPr>
          <w:lang w:val="ro-MD" w:eastAsia="ro-MD"/>
        </w:rPr>
        <w:t>, datoriile încetează imediat să fie considerate instrumente de pasive eligibile.</w:t>
      </w:r>
      <w:r w:rsidRPr="00F93D86">
        <w:rPr>
          <w:sz w:val="18"/>
          <w:szCs w:val="18"/>
          <w:highlight w:val="lightGray"/>
          <w:lang w:val="ro-MD" w:eastAsia="ro-MD"/>
        </w:rPr>
        <w:t xml:space="preserve"> </w:t>
      </w:r>
    </w:p>
    <w:p w14:paraId="79819D74" w14:textId="5D7057BA"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18</w:t>
      </w:r>
      <w:r w:rsidRPr="00F93D86">
        <w:rPr>
          <w:b/>
          <w:bCs/>
          <w:lang w:val="ro-MD" w:eastAsia="ro-MD"/>
        </w:rPr>
        <w:t xml:space="preserve">. </w:t>
      </w:r>
      <w:r w:rsidRPr="00F93D86">
        <w:rPr>
          <w:lang w:val="ro-MD" w:eastAsia="ro-MD"/>
        </w:rPr>
        <w:t>Datoriile menționate la punctul 109</w:t>
      </w:r>
      <w:r w:rsidRPr="00F93D86">
        <w:rPr>
          <w:vertAlign w:val="superscript"/>
          <w:lang w:val="ro-MD" w:eastAsia="ro-MD"/>
        </w:rPr>
        <w:t>5</w:t>
      </w:r>
      <w:r w:rsidRPr="00F93D86">
        <w:rPr>
          <w:lang w:val="ro-MD" w:eastAsia="ro-MD"/>
        </w:rPr>
        <w:t xml:space="preserve"> pot continua să fie considerate instrumente de pasive eligibile atât timp cât acestea sunt considerate instrumente de pasive eligibile în temeiul punctelor 109</w:t>
      </w:r>
      <w:r w:rsidRPr="00F93D86">
        <w:rPr>
          <w:vertAlign w:val="superscript"/>
          <w:lang w:val="ro-MD" w:eastAsia="ro-MD"/>
        </w:rPr>
        <w:t>7</w:t>
      </w:r>
      <w:r w:rsidRPr="00F93D86">
        <w:rPr>
          <w:lang w:val="ro-MD" w:eastAsia="ro-MD"/>
        </w:rPr>
        <w:t xml:space="preserve"> sau 109</w:t>
      </w:r>
      <w:r w:rsidRPr="00F93D86">
        <w:rPr>
          <w:vertAlign w:val="superscript"/>
          <w:lang w:val="ro-MD" w:eastAsia="ro-MD"/>
        </w:rPr>
        <w:t>8</w:t>
      </w:r>
      <w:r w:rsidRPr="00F93D86">
        <w:rPr>
          <w:lang w:val="ro-MD" w:eastAsia="ro-MD"/>
        </w:rPr>
        <w:t>.</w:t>
      </w:r>
    </w:p>
    <w:p w14:paraId="7C82712F" w14:textId="77777777" w:rsidR="00F93D86" w:rsidRPr="00F93D86" w:rsidRDefault="00F93D86" w:rsidP="00FF2FD6">
      <w:pPr>
        <w:spacing w:before="80"/>
        <w:jc w:val="center"/>
        <w:rPr>
          <w:b/>
          <w:bCs/>
          <w:i/>
          <w:iCs/>
          <w:lang w:val="ro-MD" w:eastAsia="ro-MD"/>
        </w:rPr>
      </w:pPr>
      <w:r w:rsidRPr="00F93D86">
        <w:rPr>
          <w:b/>
          <w:bCs/>
          <w:i/>
          <w:iCs/>
          <w:lang w:val="ro-MD" w:eastAsia="ro-MD"/>
        </w:rPr>
        <w:t>Subsecțiunea 5</w:t>
      </w:r>
    </w:p>
    <w:p w14:paraId="333D16A1" w14:textId="77777777" w:rsidR="00F93D86" w:rsidRPr="00F93D86" w:rsidRDefault="00F93D86" w:rsidP="00F93D86">
      <w:pPr>
        <w:jc w:val="center"/>
        <w:rPr>
          <w:b/>
          <w:bCs/>
          <w:i/>
          <w:iCs/>
          <w:lang w:val="ro-MD" w:eastAsia="ro-MD"/>
        </w:rPr>
      </w:pPr>
      <w:r w:rsidRPr="00F93D86">
        <w:rPr>
          <w:b/>
          <w:bCs/>
          <w:i/>
          <w:iCs/>
          <w:lang w:val="ro-MD" w:eastAsia="ro-MD"/>
        </w:rPr>
        <w:t xml:space="preserve">Deduceri din elementele de pasive eligibile și </w:t>
      </w:r>
    </w:p>
    <w:p w14:paraId="4999F062" w14:textId="77777777" w:rsidR="00F93D86" w:rsidRPr="00F93D86" w:rsidRDefault="00F93D86" w:rsidP="00F93D86">
      <w:pPr>
        <w:jc w:val="center"/>
        <w:rPr>
          <w:lang w:val="ro-MD" w:eastAsia="ro-MD"/>
        </w:rPr>
      </w:pPr>
      <w:r w:rsidRPr="00F93D86">
        <w:rPr>
          <w:b/>
          <w:bCs/>
          <w:i/>
          <w:iCs/>
          <w:lang w:val="ro-MD" w:eastAsia="ro-MD"/>
        </w:rPr>
        <w:t>deducerea deținerilor de instrumente proprii de pasive eligibile</w:t>
      </w:r>
    </w:p>
    <w:p w14:paraId="0D92B26C" w14:textId="4B2775DD"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19</w:t>
      </w:r>
      <w:r w:rsidRPr="00F93D86">
        <w:rPr>
          <w:b/>
          <w:bCs/>
          <w:lang w:val="ro-MD" w:eastAsia="ro-MD"/>
        </w:rPr>
        <w:t xml:space="preserve">. </w:t>
      </w:r>
      <w:r w:rsidRPr="00F93D86">
        <w:rPr>
          <w:lang w:val="ro-MD" w:eastAsia="ro-MD"/>
        </w:rPr>
        <w:t>În sensul prezentei secțiuni, toate instrumentele de rang egal cu instrumentele de pasive eligibile sunt tratate drept instrumente de pasive eligibile, cu excepția instrumentelor cu rang egal cu instrumentele recunoscute drept pasive eligibile în temeiul punctelor 109</w:t>
      </w:r>
      <w:r w:rsidRPr="00F93D86">
        <w:rPr>
          <w:vertAlign w:val="superscript"/>
          <w:lang w:val="ro-MD" w:eastAsia="ro-MD"/>
        </w:rPr>
        <w:t>7</w:t>
      </w:r>
      <w:r w:rsidRPr="00F93D86">
        <w:rPr>
          <w:lang w:val="ro-MD" w:eastAsia="ro-MD"/>
        </w:rPr>
        <w:t>-109</w:t>
      </w:r>
      <w:r w:rsidRPr="00F93D86">
        <w:rPr>
          <w:vertAlign w:val="superscript"/>
          <w:lang w:val="ro-MD" w:eastAsia="ro-MD"/>
        </w:rPr>
        <w:t>8</w:t>
      </w:r>
      <w:r w:rsidRPr="00F93D86">
        <w:rPr>
          <w:lang w:val="ro-MD" w:eastAsia="ro-MD"/>
        </w:rPr>
        <w:t>.</w:t>
      </w:r>
      <w:r w:rsidRPr="00F93D86">
        <w:rPr>
          <w:sz w:val="18"/>
          <w:szCs w:val="18"/>
          <w:highlight w:val="lightGray"/>
          <w:lang w:val="ro-MD" w:eastAsia="ro-MD"/>
        </w:rPr>
        <w:t xml:space="preserve"> </w:t>
      </w:r>
    </w:p>
    <w:p w14:paraId="4FD37FBF"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20</w:t>
      </w:r>
      <w:r w:rsidRPr="00F93D86">
        <w:rPr>
          <w:b/>
          <w:bCs/>
          <w:lang w:val="ro-MD" w:eastAsia="ro-MD"/>
        </w:rPr>
        <w:t>.</w:t>
      </w:r>
      <w:r w:rsidRPr="00F93D86">
        <w:rPr>
          <w:lang w:val="ro-MD" w:eastAsia="ro-MD"/>
        </w:rPr>
        <w:t xml:space="preserve"> În sensul prezentei secțiuni, băncile pot calcula cuantumul deținerilor de instrumente de pasive eligibile menționate la punctul 109</w:t>
      </w:r>
      <w:r w:rsidRPr="00F93D86">
        <w:rPr>
          <w:vertAlign w:val="superscript"/>
          <w:lang w:val="ro-MD" w:eastAsia="ro-MD"/>
        </w:rPr>
        <w:t>7</w:t>
      </w:r>
      <w:r w:rsidRPr="00F93D86">
        <w:rPr>
          <w:lang w:val="ro-MD" w:eastAsia="ro-MD"/>
        </w:rPr>
        <w:t>, după cum urmează:</w:t>
      </w:r>
    </w:p>
    <w:p w14:paraId="7FD8AA29" w14:textId="77777777" w:rsidR="00F93D86" w:rsidRPr="00F93D86" w:rsidRDefault="00F93D86" w:rsidP="00F93D86">
      <w:pPr>
        <w:tabs>
          <w:tab w:val="left" w:pos="8647"/>
          <w:tab w:val="left" w:pos="8789"/>
        </w:tabs>
        <w:spacing w:after="160" w:line="259" w:lineRule="auto"/>
        <w:ind w:left="173" w:right="567" w:firstLine="425"/>
        <w:jc w:val="both"/>
        <w:rPr>
          <w:rFonts w:ascii="Calibri" w:eastAsia="Calibri" w:hAnsi="Calibri"/>
          <w:kern w:val="2"/>
          <w:sz w:val="22"/>
          <w:szCs w:val="22"/>
          <w:lang w:val="ro-RO"/>
          <w14:ligatures w14:val="standardContextual"/>
        </w:rPr>
      </w:pPr>
      <w:r w:rsidRPr="00F93D86">
        <w:rPr>
          <w:rFonts w:ascii="Calibri" w:eastAsia="Calibri" w:hAnsi="Calibri"/>
          <w:noProof/>
          <w:kern w:val="2"/>
          <w:sz w:val="22"/>
          <w:szCs w:val="22"/>
          <w:lang w:val="ro-RO"/>
          <w14:ligatures w14:val="standardContextual"/>
        </w:rPr>
        <w:drawing>
          <wp:inline distT="0" distB="0" distL="0" distR="0" wp14:anchorId="0A9A755B" wp14:editId="6294E6AB">
            <wp:extent cx="1809750" cy="695325"/>
            <wp:effectExtent l="0" t="0" r="0" b="9525"/>
            <wp:docPr id="362988589"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695325"/>
                    </a:xfrm>
                    <a:prstGeom prst="rect">
                      <a:avLst/>
                    </a:prstGeom>
                    <a:noFill/>
                    <a:ln>
                      <a:noFill/>
                    </a:ln>
                  </pic:spPr>
                </pic:pic>
              </a:graphicData>
            </a:graphic>
          </wp:inline>
        </w:drawing>
      </w:r>
    </w:p>
    <w:p w14:paraId="3604D6B0" w14:textId="77777777" w:rsidR="00F93D86" w:rsidRPr="00F93D86" w:rsidRDefault="00F93D86" w:rsidP="00F93D86">
      <w:pPr>
        <w:ind w:firstLine="567"/>
        <w:jc w:val="both"/>
        <w:rPr>
          <w:lang w:val="ro-MD" w:eastAsia="ro-MD"/>
        </w:rPr>
      </w:pPr>
      <w:r w:rsidRPr="00F93D86">
        <w:rPr>
          <w:lang w:val="ro-MD" w:eastAsia="ro-MD"/>
        </w:rPr>
        <w:lastRenderedPageBreak/>
        <w:t>unde:</w:t>
      </w:r>
    </w:p>
    <w:p w14:paraId="72ACF813" w14:textId="77777777" w:rsidR="00F93D86" w:rsidRPr="00F93D86" w:rsidRDefault="00F93D86" w:rsidP="00F93D86">
      <w:pPr>
        <w:ind w:firstLine="567"/>
        <w:jc w:val="both"/>
        <w:rPr>
          <w:lang w:val="ro-MD" w:eastAsia="ro-MD"/>
        </w:rPr>
      </w:pPr>
    </w:p>
    <w:p w14:paraId="70B5DE72" w14:textId="77777777" w:rsidR="00F93D86" w:rsidRPr="00F93D86" w:rsidRDefault="00F93D86" w:rsidP="00F93D86">
      <w:pPr>
        <w:ind w:firstLine="567"/>
        <w:jc w:val="both"/>
        <w:rPr>
          <w:lang w:val="ro-MD" w:eastAsia="ro-MD"/>
        </w:rPr>
      </w:pPr>
      <w:r w:rsidRPr="00F93D86">
        <w:rPr>
          <w:lang w:val="ro-MD" w:eastAsia="ro-MD"/>
        </w:rPr>
        <w:t>h=cuantumul deținerilor de instrumente de pasive eligibile menționate la punctul 109</w:t>
      </w:r>
      <w:r w:rsidRPr="00F93D86">
        <w:rPr>
          <w:vertAlign w:val="superscript"/>
          <w:lang w:val="ro-MD" w:eastAsia="ro-MD"/>
        </w:rPr>
        <w:t>7</w:t>
      </w:r>
      <w:r w:rsidRPr="00F93D86">
        <w:rPr>
          <w:lang w:val="ro-MD" w:eastAsia="ro-MD"/>
        </w:rPr>
        <w:t>;</w:t>
      </w:r>
    </w:p>
    <w:p w14:paraId="0C23AAD6" w14:textId="77777777" w:rsidR="00F93D86" w:rsidRPr="00F93D86" w:rsidRDefault="00F93D86" w:rsidP="00F93D86">
      <w:pPr>
        <w:ind w:firstLine="567"/>
        <w:jc w:val="both"/>
        <w:rPr>
          <w:lang w:val="ro-MD" w:eastAsia="ro-MD"/>
        </w:rPr>
      </w:pPr>
      <w:r w:rsidRPr="00F93D86">
        <w:rPr>
          <w:lang w:val="ro-MD" w:eastAsia="ro-MD"/>
        </w:rPr>
        <w:t>i=indicele care desemnează banca emitentă;</w:t>
      </w:r>
    </w:p>
    <w:p w14:paraId="4F5D8B1D" w14:textId="77777777" w:rsidR="00F93D86" w:rsidRPr="00F93D86" w:rsidRDefault="00F93D86" w:rsidP="00F93D86">
      <w:pPr>
        <w:ind w:firstLine="567"/>
        <w:jc w:val="both"/>
        <w:rPr>
          <w:lang w:val="ro-MD" w:eastAsia="ro-MD"/>
        </w:rPr>
      </w:pPr>
      <w:r w:rsidRPr="00F93D86">
        <w:rPr>
          <w:lang w:val="ro-MD" w:eastAsia="ro-MD"/>
        </w:rPr>
        <w:t>Hi=cuantumul total al deținerilor de pasive eligibile ale băncii emitente i, menționate la punctul 109</w:t>
      </w:r>
      <w:r w:rsidRPr="00F93D86">
        <w:rPr>
          <w:vertAlign w:val="superscript"/>
          <w:lang w:val="ro-MD" w:eastAsia="ro-MD"/>
        </w:rPr>
        <w:t>7</w:t>
      </w:r>
      <w:r w:rsidRPr="00F93D86">
        <w:rPr>
          <w:lang w:val="ro-MD" w:eastAsia="ro-MD"/>
        </w:rPr>
        <w:t>;</w:t>
      </w:r>
    </w:p>
    <w:p w14:paraId="52AEBA4A" w14:textId="77777777" w:rsidR="00F93D86" w:rsidRPr="00F93D86" w:rsidRDefault="00F93D86" w:rsidP="00F93D86">
      <w:pPr>
        <w:ind w:firstLine="567"/>
        <w:jc w:val="both"/>
        <w:rPr>
          <w:lang w:val="ro-MD" w:eastAsia="ro-MD"/>
        </w:rPr>
      </w:pPr>
      <w:r w:rsidRPr="00F93D86">
        <w:rPr>
          <w:lang w:val="ro-MD" w:eastAsia="ro-MD"/>
        </w:rPr>
        <w:t>l</w:t>
      </w:r>
      <w:r w:rsidRPr="00F93D86">
        <w:rPr>
          <w:b/>
          <w:bCs/>
          <w:vertAlign w:val="subscript"/>
          <w:lang w:val="ro-MD" w:eastAsia="ro-MD"/>
        </w:rPr>
        <w:t>i</w:t>
      </w:r>
      <w:r w:rsidRPr="00F93D86">
        <w:rPr>
          <w:lang w:val="ro-MD" w:eastAsia="ro-MD"/>
        </w:rPr>
        <w:t>=cuantumul datoriilor incluse în elementele de pasive eligibile de către banca emitentă i în limitele precizate la punctul 109</w:t>
      </w:r>
      <w:r w:rsidRPr="00F93D86">
        <w:rPr>
          <w:vertAlign w:val="superscript"/>
          <w:lang w:val="ro-MD" w:eastAsia="ro-MD"/>
        </w:rPr>
        <w:t>7</w:t>
      </w:r>
      <w:r w:rsidRPr="00F93D86">
        <w:rPr>
          <w:lang w:val="ro-MD" w:eastAsia="ro-MD"/>
        </w:rPr>
        <w:t xml:space="preserve"> conform ultimelor informații publicate de banca emitentă; și</w:t>
      </w:r>
    </w:p>
    <w:p w14:paraId="142D9229" w14:textId="43E18590" w:rsidR="00F93D86" w:rsidRPr="00F93D86" w:rsidRDefault="00F93D86" w:rsidP="00F93D86">
      <w:pPr>
        <w:ind w:firstLine="567"/>
        <w:jc w:val="both"/>
        <w:rPr>
          <w:lang w:val="ro-MD" w:eastAsia="ro-MD"/>
        </w:rPr>
      </w:pPr>
      <w:r w:rsidRPr="00F93D86">
        <w:rPr>
          <w:lang w:val="ro-MD" w:eastAsia="ro-MD"/>
        </w:rPr>
        <w:t>L</w:t>
      </w:r>
      <w:r w:rsidRPr="00F93D86">
        <w:rPr>
          <w:b/>
          <w:bCs/>
          <w:vertAlign w:val="subscript"/>
          <w:lang w:val="ro-MD" w:eastAsia="ro-MD"/>
        </w:rPr>
        <w:t>i</w:t>
      </w:r>
      <w:r w:rsidRPr="00F93D86">
        <w:rPr>
          <w:lang w:val="ro-MD" w:eastAsia="ro-MD"/>
        </w:rPr>
        <w:t>=cuantumul total al datoriilor existente ale băncii emitente i, menționate la punctul 109</w:t>
      </w:r>
      <w:r w:rsidRPr="00F93D86">
        <w:rPr>
          <w:vertAlign w:val="superscript"/>
          <w:lang w:val="ro-MD" w:eastAsia="ro-MD"/>
        </w:rPr>
        <w:t>7</w:t>
      </w:r>
      <w:r w:rsidRPr="00F93D86">
        <w:rPr>
          <w:lang w:val="ro-MD" w:eastAsia="ro-MD"/>
        </w:rPr>
        <w:t>, conform ultimelor informații publicate de emitent.</w:t>
      </w:r>
      <w:r w:rsidRPr="00F93D86">
        <w:rPr>
          <w:sz w:val="18"/>
          <w:szCs w:val="18"/>
          <w:highlight w:val="lightGray"/>
          <w:lang w:val="ro-MD" w:eastAsia="ro-MD"/>
        </w:rPr>
        <w:t xml:space="preserve"> </w:t>
      </w:r>
    </w:p>
    <w:p w14:paraId="334CEA3D" w14:textId="14599912"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21</w:t>
      </w:r>
      <w:r w:rsidRPr="00F93D86">
        <w:rPr>
          <w:b/>
          <w:bCs/>
          <w:lang w:val="ro-MD" w:eastAsia="ro-MD"/>
        </w:rPr>
        <w:t>.</w:t>
      </w:r>
      <w:r w:rsidRPr="00F93D86">
        <w:rPr>
          <w:lang w:val="ro-MD" w:eastAsia="ro-MD"/>
        </w:rPr>
        <w:t xml:space="preserve"> Băncile </w:t>
      </w:r>
      <w:r w:rsidR="00E55832">
        <w:rPr>
          <w:lang w:val="ro-MD" w:eastAsia="ro-MD"/>
        </w:rPr>
        <w:t>și entitățile menționate la articolul 1 litera b)-d) din Legea nr.232/2016</w:t>
      </w:r>
      <w:r w:rsidR="00F52F81">
        <w:rPr>
          <w:lang w:val="ro-MD" w:eastAsia="ro-MD"/>
        </w:rPr>
        <w:t xml:space="preserve"> </w:t>
      </w:r>
      <w:r w:rsidRPr="00F93D86">
        <w:rPr>
          <w:lang w:val="ro-MD" w:eastAsia="ro-MD"/>
        </w:rPr>
        <w:t>deduc din elementele de pasive eligibile deținerile lor de instrumente de fonduri proprii și de instrumente de pasive eligibile dacă instrumentele de fonduri proprii și instrumentele de pasive eligibile sunt deținute de o bancă sau o entitate care nu este ea însăși o entitate de rezoluție, dar este o filială a unei entități de rezoluție sau a unei entități dintr-o țară terță care ar fi o entitate de rezoluție dacă ar fi stabilită în Republica Moldova sau într-un stat membru al Uniunii Europene.</w:t>
      </w:r>
    </w:p>
    <w:p w14:paraId="28C2FA9B"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22</w:t>
      </w:r>
      <w:r w:rsidRPr="00F93D86">
        <w:rPr>
          <w:b/>
          <w:bCs/>
          <w:lang w:val="ro-MD" w:eastAsia="ro-MD"/>
        </w:rPr>
        <w:t xml:space="preserve">. </w:t>
      </w:r>
      <w:r w:rsidRPr="00F93D86">
        <w:rPr>
          <w:lang w:val="ro-RO" w:eastAsia="ro-MD"/>
        </w:rPr>
        <w:t>Băncile</w:t>
      </w:r>
      <w:r w:rsidRPr="00F93D86">
        <w:rPr>
          <w:lang w:val="ro-MD" w:eastAsia="ro-MD"/>
        </w:rPr>
        <w:t xml:space="preserve"> calculează deținerile pe baza pozițiilor brute lungi, cu următoarele excepții:</w:t>
      </w:r>
    </w:p>
    <w:p w14:paraId="5B14DAFB" w14:textId="77777777" w:rsidR="00F93D86" w:rsidRPr="00F93D86" w:rsidRDefault="00F93D86" w:rsidP="001D1370">
      <w:pPr>
        <w:jc w:val="both"/>
        <w:rPr>
          <w:lang w:val="ro-MD" w:eastAsia="ro-MD"/>
        </w:rPr>
      </w:pPr>
      <w:r w:rsidRPr="00F93D86">
        <w:rPr>
          <w:lang w:val="ro-MD" w:eastAsia="ro-MD"/>
        </w:rPr>
        <w:t>1) băncile pot calcula cuantumul deținerilor pe baza poziției nete lungi, cu condiția îndeplinirii cumulative a următoarelor două condiții:</w:t>
      </w:r>
    </w:p>
    <w:p w14:paraId="4A21C4BF" w14:textId="77777777" w:rsidR="00F93D86" w:rsidRPr="00F93D86" w:rsidRDefault="00F93D86" w:rsidP="001D1370">
      <w:pPr>
        <w:jc w:val="both"/>
        <w:rPr>
          <w:lang w:val="ro-MD" w:eastAsia="ro-MD"/>
        </w:rPr>
      </w:pPr>
      <w:r w:rsidRPr="00F93D86">
        <w:rPr>
          <w:lang w:val="ro-MD" w:eastAsia="ro-MD"/>
        </w:rPr>
        <w:t xml:space="preserve">a) pozițiile lungi și scurte fac parte din aceeași expunere-suport, iar pozițiile scurte nu implică niciun risc de </w:t>
      </w:r>
      <w:proofErr w:type="spellStart"/>
      <w:r w:rsidRPr="00F93D86">
        <w:rPr>
          <w:lang w:val="ro-MD" w:eastAsia="ro-MD"/>
        </w:rPr>
        <w:t>contraparte</w:t>
      </w:r>
      <w:proofErr w:type="spellEnd"/>
      <w:r w:rsidRPr="00F93D86">
        <w:rPr>
          <w:lang w:val="ro-MD" w:eastAsia="ro-MD"/>
        </w:rPr>
        <w:t>;</w:t>
      </w:r>
    </w:p>
    <w:p w14:paraId="0C85AD01" w14:textId="77777777" w:rsidR="00F93D86" w:rsidRPr="00F93D86" w:rsidRDefault="00F93D86" w:rsidP="001D1370">
      <w:pPr>
        <w:jc w:val="both"/>
        <w:rPr>
          <w:lang w:val="ro-MD" w:eastAsia="ro-MD"/>
        </w:rPr>
      </w:pPr>
      <w:r w:rsidRPr="00F93D86">
        <w:rPr>
          <w:lang w:val="ro-MD" w:eastAsia="ro-MD"/>
        </w:rPr>
        <w:t>b) fie atât pozițiile lungi, cât și cele scurte sunt deținute în portofoliul de tranzacționare, fie ambele sunt deținute în afara acestuia;</w:t>
      </w:r>
    </w:p>
    <w:p w14:paraId="7F4ABC20" w14:textId="77777777" w:rsidR="00F93D86" w:rsidRPr="00F93D86" w:rsidRDefault="00F93D86" w:rsidP="001D1370">
      <w:pPr>
        <w:jc w:val="both"/>
        <w:rPr>
          <w:lang w:val="ro-MD" w:eastAsia="ro-MD"/>
        </w:rPr>
      </w:pPr>
      <w:r w:rsidRPr="00F93D86">
        <w:rPr>
          <w:lang w:val="ro-MD" w:eastAsia="ro-MD"/>
        </w:rPr>
        <w:t>2) băncile determină cuantumul care urmează a fi dedus pentru deținerile directe, indirecte și sintetice de titluri de valoare bazate pe indici, prin calcularea expunerii-suport față de instrumentele proprii de pasive eligibile incluse în indicii respectivi;</w:t>
      </w:r>
    </w:p>
    <w:p w14:paraId="712023BD" w14:textId="77777777" w:rsidR="00F93D86" w:rsidRPr="00F93D86" w:rsidRDefault="00F93D86" w:rsidP="001D1370">
      <w:pPr>
        <w:jc w:val="both"/>
        <w:rPr>
          <w:lang w:val="ro-MD" w:eastAsia="ro-MD"/>
        </w:rPr>
      </w:pPr>
      <w:r w:rsidRPr="00F93D86">
        <w:rPr>
          <w:lang w:val="ro-MD" w:eastAsia="ro-MD"/>
        </w:rPr>
        <w:t xml:space="preserve">3) băncile pot compensa poziții brute lungi pe instrumente proprii de pasive eligibile care rezultă din dețineri de titluri de valoare bazate pe indici, cu poziții scurte pe instrumente proprii de pasive eligibile care rezultă din poziții scurte pe indici-suport, inclusiv atunci când aceste poziții scurte implică un risc de </w:t>
      </w:r>
      <w:proofErr w:type="spellStart"/>
      <w:r w:rsidRPr="00F93D86">
        <w:rPr>
          <w:lang w:val="ro-MD" w:eastAsia="ro-MD"/>
        </w:rPr>
        <w:t>contraparte</w:t>
      </w:r>
      <w:proofErr w:type="spellEnd"/>
      <w:r w:rsidRPr="00F93D86">
        <w:rPr>
          <w:lang w:val="ro-MD" w:eastAsia="ro-MD"/>
        </w:rPr>
        <w:t>, cu condiția îndeplinirii cumulative a următoarelor două condiții:</w:t>
      </w:r>
    </w:p>
    <w:p w14:paraId="7907FD45" w14:textId="77777777" w:rsidR="00F93D86" w:rsidRPr="00F93D86" w:rsidRDefault="00F93D86" w:rsidP="001D1370">
      <w:pPr>
        <w:jc w:val="both"/>
        <w:rPr>
          <w:lang w:val="ro-MD" w:eastAsia="ro-MD"/>
        </w:rPr>
      </w:pPr>
      <w:r w:rsidRPr="00F93D86">
        <w:rPr>
          <w:lang w:val="ro-MD" w:eastAsia="ro-MD"/>
        </w:rPr>
        <w:t>a) pozițiile lungi și scurte fac parte din aceiași indici-suport;</w:t>
      </w:r>
    </w:p>
    <w:p w14:paraId="428C4AC2" w14:textId="4C52092D" w:rsidR="00F93D86" w:rsidRPr="00F93D86" w:rsidRDefault="00F93D86" w:rsidP="001D1370">
      <w:pPr>
        <w:jc w:val="both"/>
        <w:rPr>
          <w:lang w:val="ro-MD" w:eastAsia="ro-MD"/>
        </w:rPr>
      </w:pPr>
      <w:r w:rsidRPr="00F93D86">
        <w:rPr>
          <w:lang w:val="ro-MD" w:eastAsia="ro-MD"/>
        </w:rPr>
        <w:t>b) fie atât pozițiile lungi, cât și cele scurte sunt deținute în portofoliul de tranzacționare, fie ambele sunt deținute în afara acestuia.</w:t>
      </w:r>
    </w:p>
    <w:p w14:paraId="3C65BC9D" w14:textId="77777777" w:rsidR="00F93D86" w:rsidRPr="00F93D86" w:rsidRDefault="00F93D86" w:rsidP="00F93D86">
      <w:pPr>
        <w:jc w:val="center"/>
        <w:rPr>
          <w:b/>
          <w:bCs/>
          <w:i/>
          <w:iCs/>
          <w:lang w:val="ro-MD" w:eastAsia="ro-MD"/>
        </w:rPr>
      </w:pPr>
      <w:r w:rsidRPr="00F93D86">
        <w:rPr>
          <w:b/>
          <w:bCs/>
          <w:i/>
          <w:iCs/>
          <w:lang w:val="ro-MD" w:eastAsia="ro-MD"/>
        </w:rPr>
        <w:t>Subsecțiunea 6</w:t>
      </w:r>
    </w:p>
    <w:p w14:paraId="2601AB3A" w14:textId="77777777" w:rsidR="00F93D86" w:rsidRPr="00F93D86" w:rsidRDefault="00F93D86" w:rsidP="00F93D86">
      <w:pPr>
        <w:jc w:val="center"/>
        <w:rPr>
          <w:lang w:val="ro-MD" w:eastAsia="ro-MD"/>
        </w:rPr>
      </w:pPr>
      <w:r w:rsidRPr="00F93D86">
        <w:rPr>
          <w:b/>
          <w:bCs/>
          <w:i/>
          <w:iCs/>
          <w:lang w:val="ro-MD" w:eastAsia="ro-MD"/>
        </w:rPr>
        <w:t>Exceptarea portofoliului de tranzacționare de la deducerile din elementele de pasive eligibile</w:t>
      </w:r>
    </w:p>
    <w:p w14:paraId="4AD98F27" w14:textId="2B49097A"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23</w:t>
      </w:r>
      <w:r w:rsidRPr="00F93D86">
        <w:rPr>
          <w:b/>
          <w:bCs/>
          <w:lang w:val="ro-MD" w:eastAsia="ro-MD"/>
        </w:rPr>
        <w:t>.</w:t>
      </w:r>
      <w:r w:rsidRPr="00F93D86">
        <w:rPr>
          <w:lang w:val="ro-MD" w:eastAsia="ro-MD"/>
        </w:rPr>
        <w:t xml:space="preserve"> Băncile pot decide să nu deducă o anumită parte din deținerile directe, indirecte și sintetice de instrumente de pasive eligibile, care, la nivel agregat și calculată pe baza pozițiilor brute lungi, este mai mică sau egală cu 5% din elementele de fonduri proprii de nivel 1 de bază ale băncii după aplicarea punctelor 25</w:t>
      </w:r>
      <w:r w:rsidRPr="00F93D86">
        <w:rPr>
          <w:vertAlign w:val="superscript"/>
          <w:lang w:val="ro-MD" w:eastAsia="ro-MD"/>
        </w:rPr>
        <w:t>1</w:t>
      </w:r>
      <w:r w:rsidRPr="00F93D86">
        <w:rPr>
          <w:lang w:val="ro-MD" w:eastAsia="ro-MD"/>
        </w:rPr>
        <w:t>-32, dacă sunt îndeplinite cumulativ următoarele condiții:</w:t>
      </w:r>
    </w:p>
    <w:p w14:paraId="1755B784" w14:textId="77777777" w:rsidR="00F93D86" w:rsidRPr="00F93D86" w:rsidRDefault="00F93D86" w:rsidP="001D1370">
      <w:pPr>
        <w:jc w:val="both"/>
        <w:rPr>
          <w:lang w:val="ro-MD" w:eastAsia="ro-MD"/>
        </w:rPr>
      </w:pPr>
      <w:r w:rsidRPr="00F93D86">
        <w:rPr>
          <w:lang w:val="ro-MD" w:eastAsia="ro-MD"/>
        </w:rPr>
        <w:t>1) deținerile sunt în portofoliul de tranzacționare;</w:t>
      </w:r>
    </w:p>
    <w:p w14:paraId="4E6E0F74" w14:textId="77DEFD06" w:rsidR="00F93D86" w:rsidRPr="00F93D86" w:rsidRDefault="00F93D86" w:rsidP="001D1370">
      <w:pPr>
        <w:jc w:val="both"/>
        <w:rPr>
          <w:lang w:val="ro-MD" w:eastAsia="ro-MD"/>
        </w:rPr>
      </w:pPr>
      <w:r w:rsidRPr="00F93D86">
        <w:rPr>
          <w:lang w:val="ro-MD" w:eastAsia="ro-MD"/>
        </w:rPr>
        <w:t>2) instrumentele de pasive eligibile sunt deținute pentru o perioadă care nu depășește 30 de zile lucrătoare.</w:t>
      </w:r>
    </w:p>
    <w:p w14:paraId="6F53C06F" w14:textId="5CD6ABA8" w:rsid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24</w:t>
      </w:r>
      <w:r w:rsidRPr="00F93D86">
        <w:rPr>
          <w:b/>
          <w:bCs/>
          <w:lang w:val="ro-MD" w:eastAsia="ro-MD"/>
        </w:rPr>
        <w:t>.</w:t>
      </w:r>
      <w:r w:rsidRPr="00F93D86">
        <w:rPr>
          <w:lang w:val="ro-MD" w:eastAsia="ro-MD"/>
        </w:rPr>
        <w:t xml:space="preserve"> Cuantumurile elementelor care nu sunt deduse în temeiul punctului 109</w:t>
      </w:r>
      <w:r w:rsidRPr="00F93D86">
        <w:rPr>
          <w:vertAlign w:val="superscript"/>
          <w:lang w:val="ro-MD" w:eastAsia="ro-MD"/>
        </w:rPr>
        <w:t>23</w:t>
      </w:r>
      <w:r w:rsidRPr="00F93D86">
        <w:rPr>
          <w:lang w:val="ro-MD" w:eastAsia="ro-MD"/>
        </w:rPr>
        <w:t xml:space="preserve"> fac obiectul cerințelor de fonduri proprii aplicabile elementelor din portofoliul de tranzacționare.</w:t>
      </w:r>
      <w:r>
        <w:rPr>
          <w:lang w:val="ro-MD" w:eastAsia="ro-MD"/>
        </w:rPr>
        <w:t>”.</w:t>
      </w:r>
    </w:p>
    <w:p w14:paraId="2552DB94" w14:textId="4D142D94" w:rsidR="00407B25" w:rsidRPr="00407B25" w:rsidRDefault="000C77ED" w:rsidP="00FF2FD6">
      <w:pPr>
        <w:pStyle w:val="ListParagraph"/>
        <w:numPr>
          <w:ilvl w:val="1"/>
          <w:numId w:val="27"/>
        </w:numPr>
        <w:spacing w:before="80"/>
        <w:ind w:left="0" w:firstLine="567"/>
        <w:contextualSpacing w:val="0"/>
        <w:jc w:val="both"/>
        <w:rPr>
          <w:lang w:val="ro-MD" w:eastAsia="ro-MD"/>
        </w:rPr>
      </w:pPr>
      <w:r w:rsidRPr="00407B25">
        <w:rPr>
          <w:lang w:val="ro-MD" w:eastAsia="ro-MD"/>
        </w:rPr>
        <w:t xml:space="preserve">La Capitolul VI denumirea Secțiunii </w:t>
      </w:r>
      <w:r w:rsidR="00F46B38" w:rsidRPr="00407B25">
        <w:rPr>
          <w:lang w:val="ro-MD" w:eastAsia="ro-MD"/>
        </w:rPr>
        <w:t>1</w:t>
      </w:r>
      <w:r w:rsidRPr="00407B25">
        <w:rPr>
          <w:lang w:val="ro-MD" w:eastAsia="ro-MD"/>
        </w:rPr>
        <w:t xml:space="preserve"> va avea următorul cuprins:</w:t>
      </w:r>
    </w:p>
    <w:p w14:paraId="492595D7" w14:textId="410CCB70" w:rsidR="000C77ED" w:rsidRPr="00407B25" w:rsidRDefault="000C77ED" w:rsidP="0056740D">
      <w:pPr>
        <w:jc w:val="center"/>
        <w:rPr>
          <w:lang w:val="ro-MD" w:eastAsia="ro-MD"/>
        </w:rPr>
      </w:pPr>
      <w:r w:rsidRPr="00407B25">
        <w:rPr>
          <w:lang w:val="ro-MD" w:eastAsia="ro-MD"/>
        </w:rPr>
        <w:t>„</w:t>
      </w:r>
      <w:r w:rsidR="00407B25" w:rsidRPr="00407B25">
        <w:rPr>
          <w:b/>
          <w:bCs/>
          <w:i/>
          <w:iCs/>
          <w:lang w:val="ro-MD" w:eastAsia="ro-MD"/>
        </w:rPr>
        <w:t>Secțiunea 1</w:t>
      </w:r>
      <w:r w:rsidR="00407B25">
        <w:rPr>
          <w:lang w:val="ro-MD" w:eastAsia="ro-MD"/>
        </w:rPr>
        <w:t xml:space="preserve"> </w:t>
      </w:r>
      <w:r w:rsidRPr="00407B25">
        <w:rPr>
          <w:b/>
          <w:bCs/>
          <w:i/>
          <w:iCs/>
          <w:lang w:val="ro-MD" w:eastAsia="ro-MD"/>
        </w:rPr>
        <w:t>Distribuiri aferente instrumentelor</w:t>
      </w:r>
      <w:r w:rsidRPr="00407B25">
        <w:rPr>
          <w:i/>
          <w:iCs/>
          <w:lang w:val="ro-MD" w:eastAsia="ro-MD"/>
        </w:rPr>
        <w:t>”</w:t>
      </w:r>
      <w:r w:rsidR="00407B25">
        <w:rPr>
          <w:i/>
          <w:iCs/>
          <w:lang w:val="ro-MD" w:eastAsia="ro-MD"/>
        </w:rPr>
        <w:t>.</w:t>
      </w:r>
    </w:p>
    <w:p w14:paraId="235D3C9A" w14:textId="03815C66" w:rsidR="00740EAE" w:rsidRDefault="00740EAE" w:rsidP="00FF2FD6">
      <w:pPr>
        <w:pStyle w:val="ListParagraph"/>
        <w:numPr>
          <w:ilvl w:val="1"/>
          <w:numId w:val="27"/>
        </w:numPr>
        <w:spacing w:before="80"/>
        <w:ind w:left="0" w:firstLine="567"/>
        <w:jc w:val="both"/>
        <w:rPr>
          <w:lang w:val="ro-MD" w:eastAsia="ro-MD"/>
        </w:rPr>
      </w:pPr>
      <w:bookmarkStart w:id="15" w:name="_Hlk206764791"/>
      <w:r>
        <w:rPr>
          <w:lang w:val="ro-MD" w:eastAsia="ro-MD"/>
        </w:rPr>
        <w:t>P</w:t>
      </w:r>
      <w:r w:rsidR="000C77ED">
        <w:rPr>
          <w:lang w:val="ro-MD" w:eastAsia="ro-MD"/>
        </w:rPr>
        <w:t xml:space="preserve">unctul 110 </w:t>
      </w:r>
      <w:r>
        <w:rPr>
          <w:lang w:val="ro-MD" w:eastAsia="ro-MD"/>
        </w:rPr>
        <w:t>va avea următorul cuprins:</w:t>
      </w:r>
    </w:p>
    <w:bookmarkEnd w:id="15"/>
    <w:p w14:paraId="0F443B67" w14:textId="5C2CF0A3" w:rsidR="000C77ED" w:rsidRDefault="00740EAE" w:rsidP="00740EAE">
      <w:pPr>
        <w:jc w:val="both"/>
        <w:rPr>
          <w:lang w:val="ro-MD" w:eastAsia="ro-MD"/>
        </w:rPr>
      </w:pPr>
      <w:r w:rsidRPr="00740EAE">
        <w:rPr>
          <w:lang w:val="ro-MD" w:eastAsia="ro-MD"/>
        </w:rPr>
        <w:lastRenderedPageBreak/>
        <w:t xml:space="preserve"> „</w:t>
      </w:r>
      <w:r w:rsidRPr="00740EAE">
        <w:rPr>
          <w:b/>
          <w:bCs/>
          <w:lang w:val="ro-MD" w:eastAsia="ro-MD"/>
        </w:rPr>
        <w:t>110.</w:t>
      </w:r>
      <w:r w:rsidRPr="00740EAE">
        <w:rPr>
          <w:lang w:val="ro-MD" w:eastAsia="ro-MD"/>
        </w:rPr>
        <w:t xml:space="preserve"> Instrumentele de capital și datoriile pentru care o bancă are capacitatea discreționară de a decide să plătească distribuiri sub altă formă decât în numerar sau în instrumente de fonduri proprii nu pot fi considerate drept instrumente de fonduri proprii de nivel 1 de bază, instrumente de fonduri proprii de nivel 1 suplimentar, instrumente de fonduri proprii de nivel 2 sau instrumente de pasive eligibile, cu excepția cazului în care banca a obținut aprobarea prealabilă a Băncii Naționale a Moldovei în acest sens.</w:t>
      </w:r>
      <w:r>
        <w:rPr>
          <w:lang w:val="ro-MD" w:eastAsia="ro-MD"/>
        </w:rPr>
        <w:t>”.</w:t>
      </w:r>
    </w:p>
    <w:p w14:paraId="1BE9EDC7" w14:textId="2C102C54" w:rsidR="00740EAE" w:rsidRDefault="00740EAE" w:rsidP="00FF2FD6">
      <w:pPr>
        <w:pStyle w:val="ListParagraph"/>
        <w:numPr>
          <w:ilvl w:val="1"/>
          <w:numId w:val="27"/>
        </w:numPr>
        <w:spacing w:before="80"/>
        <w:ind w:left="0" w:firstLine="567"/>
        <w:jc w:val="both"/>
        <w:rPr>
          <w:lang w:val="ro-MD" w:eastAsia="ro-MD"/>
        </w:rPr>
      </w:pPr>
      <w:r>
        <w:rPr>
          <w:lang w:val="ro-MD" w:eastAsia="ro-MD"/>
        </w:rPr>
        <w:t>La punctul 111:</w:t>
      </w:r>
    </w:p>
    <w:p w14:paraId="10413DD6" w14:textId="10B4358F" w:rsidR="00740EAE" w:rsidRDefault="00740EAE" w:rsidP="00FF10CA">
      <w:pPr>
        <w:pStyle w:val="ListParagraph"/>
        <w:numPr>
          <w:ilvl w:val="2"/>
          <w:numId w:val="27"/>
        </w:numPr>
        <w:ind w:left="0" w:firstLine="567"/>
        <w:jc w:val="both"/>
        <w:rPr>
          <w:lang w:val="ro-MD" w:eastAsia="ro-MD"/>
        </w:rPr>
      </w:pPr>
      <w:r>
        <w:rPr>
          <w:lang w:val="ro-MD" w:eastAsia="ro-MD"/>
        </w:rPr>
        <w:t>în alineat</w:t>
      </w:r>
      <w:r w:rsidR="00F46B38">
        <w:rPr>
          <w:lang w:val="ro-MD" w:eastAsia="ro-MD"/>
        </w:rPr>
        <w:t>ul introductiv</w:t>
      </w:r>
      <w:r w:rsidR="0068406C">
        <w:rPr>
          <w:lang w:val="ro-MD" w:eastAsia="ro-MD"/>
        </w:rPr>
        <w:t>,</w:t>
      </w:r>
      <w:r>
        <w:rPr>
          <w:lang w:val="ro-MD" w:eastAsia="ro-MD"/>
        </w:rPr>
        <w:t xml:space="preserve"> după cuvântul „îndeplinesc</w:t>
      </w:r>
      <w:r w:rsidR="00F46B38">
        <w:rPr>
          <w:lang w:val="ro-MD" w:eastAsia="ro-MD"/>
        </w:rPr>
        <w:t>”</w:t>
      </w:r>
      <w:r>
        <w:rPr>
          <w:lang w:val="ro-MD" w:eastAsia="ro-MD"/>
        </w:rPr>
        <w:t xml:space="preserve"> se completează cu cuvântul „cumulativ”;</w:t>
      </w:r>
    </w:p>
    <w:p w14:paraId="733058D8" w14:textId="2BFD4F1C" w:rsidR="00740EAE" w:rsidRDefault="0068406C" w:rsidP="00FF10CA">
      <w:pPr>
        <w:pStyle w:val="ListParagraph"/>
        <w:numPr>
          <w:ilvl w:val="2"/>
          <w:numId w:val="27"/>
        </w:numPr>
        <w:ind w:left="0" w:firstLine="567"/>
        <w:jc w:val="both"/>
        <w:rPr>
          <w:lang w:val="ro-MD" w:eastAsia="ro-MD"/>
        </w:rPr>
      </w:pPr>
      <w:r>
        <w:rPr>
          <w:lang w:val="ro-MD" w:eastAsia="ro-MD"/>
        </w:rPr>
        <w:t>la</w:t>
      </w:r>
      <w:r w:rsidR="00740EAE">
        <w:rPr>
          <w:lang w:val="ro-MD" w:eastAsia="ro-MD"/>
        </w:rPr>
        <w:t xml:space="preserve"> subpunctul 1)</w:t>
      </w:r>
      <w:r>
        <w:rPr>
          <w:lang w:val="ro-MD" w:eastAsia="ro-MD"/>
        </w:rPr>
        <w:t>,</w:t>
      </w:r>
      <w:r w:rsidR="00740EAE">
        <w:rPr>
          <w:lang w:val="ro-MD" w:eastAsia="ro-MD"/>
        </w:rPr>
        <w:t xml:space="preserve"> după cuvântul „</w:t>
      </w:r>
      <w:r w:rsidR="00740EAE" w:rsidRPr="00740EAE">
        <w:rPr>
          <w:lang w:val="ro-MD" w:eastAsia="ro-MD"/>
        </w:rPr>
        <w:t>capacitatea</w:t>
      </w:r>
      <w:r w:rsidR="00740EAE">
        <w:rPr>
          <w:lang w:val="ro-MD" w:eastAsia="ro-MD"/>
        </w:rPr>
        <w:t>” se completează cu cuvântul „</w:t>
      </w:r>
      <w:r w:rsidR="00740EAE" w:rsidRPr="00740EAE">
        <w:rPr>
          <w:lang w:val="ro-MD" w:eastAsia="ro-MD"/>
        </w:rPr>
        <w:t>discreționară</w:t>
      </w:r>
      <w:r w:rsidR="00740EAE">
        <w:rPr>
          <w:lang w:val="ro-MD" w:eastAsia="ro-MD"/>
        </w:rPr>
        <w:t>”.</w:t>
      </w:r>
    </w:p>
    <w:p w14:paraId="6DDC63F3" w14:textId="6436F98B" w:rsidR="00740EAE" w:rsidRPr="00740EAE" w:rsidRDefault="00740EAE" w:rsidP="00FF2FD6">
      <w:pPr>
        <w:pStyle w:val="ListParagraph"/>
        <w:numPr>
          <w:ilvl w:val="1"/>
          <w:numId w:val="27"/>
        </w:numPr>
        <w:spacing w:before="80"/>
        <w:ind w:left="0" w:firstLine="567"/>
        <w:rPr>
          <w:lang w:val="ro-MD" w:eastAsia="ro-MD"/>
        </w:rPr>
      </w:pPr>
      <w:r w:rsidRPr="00740EAE">
        <w:rPr>
          <w:lang w:val="ro-MD" w:eastAsia="ro-MD"/>
        </w:rPr>
        <w:t>Punctul 11</w:t>
      </w:r>
      <w:r>
        <w:rPr>
          <w:lang w:val="ro-MD" w:eastAsia="ro-MD"/>
        </w:rPr>
        <w:t xml:space="preserve">2 </w:t>
      </w:r>
      <w:r w:rsidRPr="00740EAE">
        <w:rPr>
          <w:lang w:val="ro-MD" w:eastAsia="ro-MD"/>
        </w:rPr>
        <w:t>va avea următorul cuprins:</w:t>
      </w:r>
    </w:p>
    <w:p w14:paraId="73940124" w14:textId="335DF678" w:rsidR="00740EAE" w:rsidRDefault="00740EAE" w:rsidP="000F7785">
      <w:pPr>
        <w:jc w:val="both"/>
        <w:rPr>
          <w:lang w:val="ro-MD" w:eastAsia="ro-MD"/>
        </w:rPr>
      </w:pPr>
      <w:r w:rsidRPr="00740EAE">
        <w:rPr>
          <w:lang w:val="ro-MD" w:eastAsia="ro-MD"/>
        </w:rPr>
        <w:t>„</w:t>
      </w:r>
      <w:r w:rsidRPr="00740EAE">
        <w:rPr>
          <w:b/>
          <w:bCs/>
          <w:lang w:val="ro-MD" w:eastAsia="ro-MD"/>
        </w:rPr>
        <w:t>112.</w:t>
      </w:r>
      <w:r w:rsidRPr="00740EAE">
        <w:rPr>
          <w:lang w:val="ro-MD" w:eastAsia="ro-MD"/>
        </w:rPr>
        <w:t xml:space="preserve"> Instrumentele de capital și datoriile pentru care o persoană juridică, alta decât banca care le emite, are capacitatea discreționară de a decide sau de a cere ca plata distribuirilor aferente instrumentelor sau datoriilor respective să fie făcută sub altă formă decât în numerar sau în instrumente de fonduri proprii nu pot fi considerate drept instrumente de fonduri proprii de nivel 1 de bază, instrumente de fonduri proprii de nivel 1 suplimentar, instrumente de fonduri proprii de nivel 2 sau instrumente de pasive eligibile.</w:t>
      </w:r>
      <w:r>
        <w:rPr>
          <w:lang w:val="ro-MD" w:eastAsia="ro-MD"/>
        </w:rPr>
        <w:t>”.</w:t>
      </w:r>
    </w:p>
    <w:p w14:paraId="42EEE20D" w14:textId="1067410B" w:rsidR="00740EAE" w:rsidRDefault="00740EAE" w:rsidP="00FF2FD6">
      <w:pPr>
        <w:pStyle w:val="ListParagraph"/>
        <w:numPr>
          <w:ilvl w:val="1"/>
          <w:numId w:val="27"/>
        </w:numPr>
        <w:spacing w:before="80"/>
        <w:ind w:left="0" w:firstLine="567"/>
        <w:jc w:val="both"/>
        <w:rPr>
          <w:lang w:val="ro-MD" w:eastAsia="ro-MD"/>
        </w:rPr>
      </w:pPr>
      <w:r>
        <w:rPr>
          <w:lang w:val="ro-MD" w:eastAsia="ro-MD"/>
        </w:rPr>
        <w:t>Se completează cu punctul 112</w:t>
      </w:r>
      <w:r>
        <w:rPr>
          <w:vertAlign w:val="superscript"/>
          <w:lang w:val="ro-MD" w:eastAsia="ro-MD"/>
        </w:rPr>
        <w:t>1</w:t>
      </w:r>
      <w:r>
        <w:rPr>
          <w:lang w:val="ro-MD" w:eastAsia="ro-MD"/>
        </w:rPr>
        <w:t xml:space="preserve"> cu următorul cuprins:</w:t>
      </w:r>
    </w:p>
    <w:p w14:paraId="08452CE1" w14:textId="73400A29" w:rsidR="00740EAE" w:rsidRDefault="00740EAE" w:rsidP="000F7785">
      <w:pPr>
        <w:jc w:val="both"/>
        <w:rPr>
          <w:lang w:val="ro-MD" w:eastAsia="ro-MD"/>
        </w:rPr>
      </w:pPr>
      <w:r>
        <w:rPr>
          <w:lang w:val="ro-MD" w:eastAsia="ro-MD"/>
        </w:rPr>
        <w:t>„</w:t>
      </w:r>
      <w:r w:rsidRPr="00740EAE">
        <w:rPr>
          <w:b/>
          <w:bCs/>
          <w:lang w:val="ro-MD" w:eastAsia="ro-MD"/>
        </w:rPr>
        <w:t>112</w:t>
      </w:r>
      <w:r w:rsidRPr="00740EAE">
        <w:rPr>
          <w:b/>
          <w:bCs/>
          <w:vertAlign w:val="superscript"/>
          <w:lang w:val="ro-MD" w:eastAsia="ro-MD"/>
        </w:rPr>
        <w:t>1</w:t>
      </w:r>
      <w:r w:rsidRPr="00740EAE">
        <w:rPr>
          <w:b/>
          <w:bCs/>
          <w:lang w:val="ro-MD" w:eastAsia="ro-MD"/>
        </w:rPr>
        <w:t>.</w:t>
      </w:r>
      <w:r w:rsidRPr="00740EAE">
        <w:rPr>
          <w:lang w:val="ro-MD" w:eastAsia="ro-MD"/>
        </w:rPr>
        <w:t xml:space="preserve"> Banca Națională a Moldovei </w:t>
      </w:r>
      <w:r w:rsidR="001A1D87">
        <w:rPr>
          <w:lang w:val="ro-MD" w:eastAsia="ro-MD"/>
        </w:rPr>
        <w:t>se asigură că structura care exercită funcția</w:t>
      </w:r>
      <w:r w:rsidRPr="00740EAE">
        <w:rPr>
          <w:lang w:val="ro-MD" w:eastAsia="ro-MD"/>
        </w:rPr>
        <w:t xml:space="preserve"> de supraveghere consultă structura care exercită funcția de rezoluție înainte de a acorda aprobarea prealabilă menționată la punctul 110.</w:t>
      </w:r>
      <w:r>
        <w:rPr>
          <w:lang w:val="ro-MD" w:eastAsia="ro-MD"/>
        </w:rPr>
        <w:t>”.</w:t>
      </w:r>
    </w:p>
    <w:p w14:paraId="57AFA199" w14:textId="3201F6D6" w:rsidR="00740EAE" w:rsidRDefault="00071E51" w:rsidP="00FF2FD6">
      <w:pPr>
        <w:pStyle w:val="ListParagraph"/>
        <w:numPr>
          <w:ilvl w:val="1"/>
          <w:numId w:val="27"/>
        </w:numPr>
        <w:spacing w:before="80"/>
        <w:ind w:left="0" w:firstLine="567"/>
        <w:contextualSpacing w:val="0"/>
        <w:jc w:val="both"/>
        <w:rPr>
          <w:lang w:val="ro-MD" w:eastAsia="ro-MD"/>
        </w:rPr>
      </w:pPr>
      <w:r>
        <w:rPr>
          <w:lang w:val="ro-MD" w:eastAsia="ro-MD"/>
        </w:rPr>
        <w:t>Punctul 113 se completează cu cuvintele „</w:t>
      </w:r>
      <w:r w:rsidRPr="00071E51">
        <w:rPr>
          <w:lang w:val="ro-MD" w:eastAsia="ro-MD"/>
        </w:rPr>
        <w:t>și instrumentelor de pasive eligibile</w:t>
      </w:r>
      <w:r>
        <w:rPr>
          <w:lang w:val="ro-MD" w:eastAsia="ro-MD"/>
        </w:rPr>
        <w:t>”.</w:t>
      </w:r>
    </w:p>
    <w:p w14:paraId="4F1F17BC" w14:textId="0BEA2E61" w:rsidR="00071E51" w:rsidRDefault="00071E51" w:rsidP="00FF2FD6">
      <w:pPr>
        <w:pStyle w:val="ListParagraph"/>
        <w:numPr>
          <w:ilvl w:val="1"/>
          <w:numId w:val="27"/>
        </w:numPr>
        <w:spacing w:before="80"/>
        <w:ind w:left="0" w:firstLine="567"/>
        <w:contextualSpacing w:val="0"/>
        <w:jc w:val="both"/>
        <w:rPr>
          <w:lang w:val="ro-MD" w:eastAsia="ro-MD"/>
        </w:rPr>
      </w:pPr>
      <w:r>
        <w:rPr>
          <w:lang w:val="ro-MD" w:eastAsia="ro-MD"/>
        </w:rPr>
        <w:t>Punctul 115 se completează cu cuvintele „</w:t>
      </w:r>
      <w:r w:rsidRPr="00071E51">
        <w:rPr>
          <w:lang w:val="ro-MD" w:eastAsia="ro-MD"/>
        </w:rPr>
        <w:t>și instrumentele lor de pasive eligibile</w:t>
      </w:r>
      <w:r>
        <w:rPr>
          <w:lang w:val="ro-MD" w:eastAsia="ro-MD"/>
        </w:rPr>
        <w:t>”.</w:t>
      </w:r>
    </w:p>
    <w:p w14:paraId="3751D931" w14:textId="54138535" w:rsidR="00071E51" w:rsidRDefault="00514C5A" w:rsidP="00FF2FD6">
      <w:pPr>
        <w:pStyle w:val="ListParagraph"/>
        <w:numPr>
          <w:ilvl w:val="1"/>
          <w:numId w:val="27"/>
        </w:numPr>
        <w:spacing w:before="80"/>
        <w:ind w:left="0" w:firstLine="567"/>
        <w:contextualSpacing w:val="0"/>
        <w:jc w:val="both"/>
        <w:rPr>
          <w:lang w:val="ro-MD" w:eastAsia="ro-MD"/>
        </w:rPr>
      </w:pPr>
      <w:r>
        <w:rPr>
          <w:lang w:val="ro-MD" w:eastAsia="ro-MD"/>
        </w:rPr>
        <w:t xml:space="preserve">Capitolul VI </w:t>
      </w:r>
      <w:r w:rsidR="00F46B38">
        <w:rPr>
          <w:lang w:val="ro-MD" w:eastAsia="ro-MD"/>
        </w:rPr>
        <w:t>s</w:t>
      </w:r>
      <w:r w:rsidR="00071E51">
        <w:rPr>
          <w:lang w:val="ro-MD" w:eastAsia="ro-MD"/>
        </w:rPr>
        <w:t xml:space="preserve">e completează cu </w:t>
      </w:r>
      <w:r>
        <w:rPr>
          <w:lang w:val="ro-MD" w:eastAsia="ro-MD"/>
        </w:rPr>
        <w:t xml:space="preserve">secțiunile </w:t>
      </w:r>
      <w:r w:rsidR="00071E51">
        <w:rPr>
          <w:lang w:val="ro-MD" w:eastAsia="ro-MD"/>
        </w:rPr>
        <w:t>2</w:t>
      </w:r>
      <w:r w:rsidR="00071E51">
        <w:rPr>
          <w:vertAlign w:val="superscript"/>
          <w:lang w:val="ro-MD" w:eastAsia="ro-MD"/>
        </w:rPr>
        <w:t>1</w:t>
      </w:r>
      <w:r w:rsidR="00071E51">
        <w:rPr>
          <w:lang w:val="ro-MD" w:eastAsia="ro-MD"/>
        </w:rPr>
        <w:t xml:space="preserve"> și 2</w:t>
      </w:r>
      <w:r w:rsidR="00071E51">
        <w:rPr>
          <w:vertAlign w:val="superscript"/>
          <w:lang w:val="ro-MD" w:eastAsia="ro-MD"/>
        </w:rPr>
        <w:t>2</w:t>
      </w:r>
      <w:r w:rsidR="00071E51">
        <w:rPr>
          <w:lang w:val="ro-MD" w:eastAsia="ro-MD"/>
        </w:rPr>
        <w:t xml:space="preserve"> cu următorul cuprins:</w:t>
      </w:r>
    </w:p>
    <w:p w14:paraId="4EC490A9" w14:textId="78575BC2" w:rsidR="00071E51" w:rsidRPr="00071E51" w:rsidRDefault="00071E51" w:rsidP="00071E51">
      <w:pPr>
        <w:jc w:val="center"/>
        <w:rPr>
          <w:lang w:val="ro-MD" w:eastAsia="ro-MD"/>
        </w:rPr>
      </w:pPr>
      <w:r w:rsidRPr="00071E51">
        <w:rPr>
          <w:i/>
          <w:iCs/>
          <w:lang w:val="ro-MD" w:eastAsia="ro-MD"/>
        </w:rPr>
        <w:t>„</w:t>
      </w:r>
      <w:r w:rsidRPr="00071E51">
        <w:rPr>
          <w:b/>
          <w:bCs/>
          <w:i/>
          <w:iCs/>
          <w:lang w:val="ro-MD" w:eastAsia="ro-MD"/>
        </w:rPr>
        <w:t>Secțiunea 2</w:t>
      </w:r>
      <w:r w:rsidRPr="00071E51">
        <w:rPr>
          <w:b/>
          <w:bCs/>
          <w:i/>
          <w:iCs/>
          <w:vertAlign w:val="superscript"/>
          <w:lang w:val="ro-MD" w:eastAsia="ro-MD"/>
        </w:rPr>
        <w:t>1</w:t>
      </w:r>
    </w:p>
    <w:p w14:paraId="65EE72E4" w14:textId="7BF54CB9" w:rsidR="00071E51" w:rsidRPr="00071E51" w:rsidRDefault="00071E51" w:rsidP="00071E51">
      <w:pPr>
        <w:ind w:firstLine="567"/>
        <w:jc w:val="center"/>
        <w:rPr>
          <w:b/>
          <w:bCs/>
          <w:i/>
          <w:iCs/>
          <w:lang w:val="ro-MD" w:eastAsia="ro-MD"/>
        </w:rPr>
      </w:pPr>
      <w:r w:rsidRPr="00071E51">
        <w:rPr>
          <w:b/>
          <w:bCs/>
          <w:i/>
          <w:iCs/>
          <w:lang w:val="ro-MD" w:eastAsia="ro-MD"/>
        </w:rPr>
        <w:t>Deținerile de instrumente de capital</w:t>
      </w:r>
      <w:r w:rsidR="005301D8">
        <w:rPr>
          <w:b/>
          <w:bCs/>
          <w:i/>
          <w:iCs/>
          <w:lang w:val="ro-MD" w:eastAsia="ro-MD"/>
        </w:rPr>
        <w:t xml:space="preserve"> și pasive</w:t>
      </w:r>
      <w:r w:rsidRPr="00071E51">
        <w:rPr>
          <w:b/>
          <w:bCs/>
          <w:i/>
          <w:iCs/>
          <w:lang w:val="ro-MD" w:eastAsia="ro-MD"/>
        </w:rPr>
        <w:t xml:space="preserve"> bazate pe indici</w:t>
      </w:r>
    </w:p>
    <w:p w14:paraId="07BA8A52" w14:textId="093C279A" w:rsidR="00071E51" w:rsidRPr="00071E51" w:rsidRDefault="00071E51" w:rsidP="00B81880">
      <w:pPr>
        <w:jc w:val="both"/>
        <w:rPr>
          <w:lang w:val="ro-MD" w:eastAsia="ro-MD"/>
        </w:rPr>
      </w:pPr>
      <w:r w:rsidRPr="00071E51">
        <w:rPr>
          <w:b/>
          <w:bCs/>
          <w:lang w:val="ro-MD" w:eastAsia="ro-MD"/>
        </w:rPr>
        <w:t>11</w:t>
      </w:r>
      <w:r w:rsidR="00B81880">
        <w:rPr>
          <w:b/>
          <w:bCs/>
          <w:lang w:val="ro-MD" w:eastAsia="ro-MD"/>
        </w:rPr>
        <w:t>8</w:t>
      </w:r>
      <w:r w:rsidRPr="00071E51">
        <w:rPr>
          <w:b/>
          <w:bCs/>
          <w:vertAlign w:val="superscript"/>
          <w:lang w:val="ro-MD" w:eastAsia="ro-MD"/>
        </w:rPr>
        <w:t>1</w:t>
      </w:r>
      <w:r w:rsidRPr="00071E51">
        <w:rPr>
          <w:b/>
          <w:bCs/>
          <w:lang w:val="ro-MD" w:eastAsia="ro-MD"/>
        </w:rPr>
        <w:t>.</w:t>
      </w:r>
      <w:r w:rsidRPr="00071E51">
        <w:rPr>
          <w:lang w:val="ro-MD" w:eastAsia="ro-MD"/>
        </w:rPr>
        <w:t xml:space="preserve"> În sensul punctelor 51 subpunctul 1), 55 subpunctul 1), 88 subpunctul 1), 90 subpunctul 1), 102 subpunctul 1), 104 subpunctul 1), 109</w:t>
      </w:r>
      <w:r w:rsidRPr="00071E51">
        <w:rPr>
          <w:vertAlign w:val="superscript"/>
          <w:lang w:val="ro-MD" w:eastAsia="ro-MD"/>
        </w:rPr>
        <w:t>22</w:t>
      </w:r>
      <w:r w:rsidRPr="00071E51">
        <w:rPr>
          <w:lang w:val="ro-MD" w:eastAsia="ro-MD"/>
        </w:rPr>
        <w:t xml:space="preserve"> subpunctul 1), </w:t>
      </w:r>
      <w:r w:rsidRPr="00071E51">
        <w:rPr>
          <w:lang w:val="ro-RO" w:eastAsia="ro-MD"/>
        </w:rPr>
        <w:t>băncile</w:t>
      </w:r>
      <w:r w:rsidRPr="00071E51">
        <w:rPr>
          <w:lang w:val="ro-MD" w:eastAsia="ro-MD"/>
        </w:rPr>
        <w:t xml:space="preserve"> pot reduce cuantumul unei poziții lungi pe un instrument de capital sau un pasiv cu acea parte dintr-un indice care este alcătuită din aceeași expunere-suport care este acoperită, dacă sunt îndeplinite cumulativ următoarele condiții:</w:t>
      </w:r>
    </w:p>
    <w:p w14:paraId="1A591813" w14:textId="77777777" w:rsidR="00071E51" w:rsidRPr="00071E51" w:rsidRDefault="00071E51" w:rsidP="00B81880">
      <w:pPr>
        <w:jc w:val="both"/>
        <w:rPr>
          <w:lang w:val="ro-MD" w:eastAsia="ro-MD"/>
        </w:rPr>
      </w:pPr>
      <w:r w:rsidRPr="00071E51">
        <w:rPr>
          <w:lang w:val="ro-MD" w:eastAsia="ro-MD"/>
        </w:rPr>
        <w:t>1) fie atât poziția lungă care este acoperită, cât și poziția scurtă dintr-un indice folosită pentru a acoperi poziția lungă respectivă sunt deținute în portofoliul de tranzacționare, fie ambele sunt deținute în afara acestuia;</w:t>
      </w:r>
    </w:p>
    <w:p w14:paraId="66FD51CA" w14:textId="77777777" w:rsidR="00071E51" w:rsidRPr="00071E51" w:rsidRDefault="00071E51" w:rsidP="00B81880">
      <w:pPr>
        <w:jc w:val="both"/>
        <w:rPr>
          <w:lang w:val="ro-MD" w:eastAsia="ro-MD"/>
        </w:rPr>
      </w:pPr>
      <w:r w:rsidRPr="00071E51">
        <w:rPr>
          <w:lang w:val="ro-MD" w:eastAsia="ro-MD"/>
        </w:rPr>
        <w:t>2) pozițiile menționate la subpunctul 1) sunt înregistrate la valoarea justă în bilanțul băncii;</w:t>
      </w:r>
    </w:p>
    <w:p w14:paraId="1F3797C3" w14:textId="77777777" w:rsidR="00071E51" w:rsidRPr="00071E51" w:rsidRDefault="00071E51" w:rsidP="00B81880">
      <w:pPr>
        <w:jc w:val="both"/>
        <w:rPr>
          <w:lang w:val="ro-MD" w:eastAsia="ro-MD"/>
        </w:rPr>
      </w:pPr>
      <w:r w:rsidRPr="00071E51">
        <w:rPr>
          <w:lang w:val="ro-MD" w:eastAsia="ro-MD"/>
        </w:rPr>
        <w:t>3) poziția scurtă menționată la subpunctul 1) poate fi considerată drept o acoperire eficientă în conformitate cu procedurile de control intern ale băncii;</w:t>
      </w:r>
    </w:p>
    <w:p w14:paraId="32C5E477" w14:textId="6D5D8CF0" w:rsidR="00071E51" w:rsidRPr="00071E51" w:rsidRDefault="00071E51" w:rsidP="00B81880">
      <w:pPr>
        <w:jc w:val="both"/>
        <w:rPr>
          <w:lang w:val="ro-MD" w:eastAsia="ro-MD"/>
        </w:rPr>
      </w:pPr>
      <w:r w:rsidRPr="00071E51">
        <w:rPr>
          <w:lang w:val="ro-MD" w:eastAsia="ro-MD"/>
        </w:rPr>
        <w:t>4) Banca Națională a Moldovei a evaluat caracterul adecvat al procedurilor de control intern menționate la subpunctul 3) cel puțin o dată pe an și este satisfăcută</w:t>
      </w:r>
      <w:r w:rsidR="00417CE4">
        <w:rPr>
          <w:lang w:val="ro-MD" w:eastAsia="ro-MD"/>
        </w:rPr>
        <w:t>, de fiecare dată,</w:t>
      </w:r>
      <w:r w:rsidRPr="00071E51">
        <w:rPr>
          <w:lang w:val="ro-MD" w:eastAsia="ro-MD"/>
        </w:rPr>
        <w:t xml:space="preserve"> de caracterul adecvat al acestora.</w:t>
      </w:r>
    </w:p>
    <w:p w14:paraId="6CDA6DCA" w14:textId="086F8DA0" w:rsidR="00071E51" w:rsidRPr="00071E51" w:rsidRDefault="00071E51" w:rsidP="00B81880">
      <w:pPr>
        <w:jc w:val="both"/>
        <w:rPr>
          <w:lang w:val="ro-MD" w:eastAsia="ro-MD"/>
        </w:rPr>
      </w:pPr>
      <w:r w:rsidRPr="00071E51">
        <w:rPr>
          <w:b/>
          <w:bCs/>
          <w:lang w:val="ro-MD" w:eastAsia="ro-MD"/>
        </w:rPr>
        <w:t>11</w:t>
      </w:r>
      <w:r w:rsidR="00B81880">
        <w:rPr>
          <w:b/>
          <w:bCs/>
          <w:lang w:val="ro-MD" w:eastAsia="ro-MD"/>
        </w:rPr>
        <w:t>8</w:t>
      </w:r>
      <w:r w:rsidRPr="00071E51">
        <w:rPr>
          <w:b/>
          <w:bCs/>
          <w:vertAlign w:val="superscript"/>
          <w:lang w:val="ro-MD" w:eastAsia="ro-MD"/>
        </w:rPr>
        <w:t>2</w:t>
      </w:r>
      <w:r w:rsidRPr="00071E51">
        <w:rPr>
          <w:b/>
          <w:bCs/>
          <w:lang w:val="ro-MD" w:eastAsia="ro-MD"/>
        </w:rPr>
        <w:t>.</w:t>
      </w:r>
      <w:r w:rsidRPr="00071E51">
        <w:rPr>
          <w:lang w:val="ro-MD" w:eastAsia="ro-MD"/>
        </w:rPr>
        <w:t xml:space="preserve"> Cu aprobarea prealabilă a Băncii Naționale a Moldovei, banca poate folosi o estimare prudentă a expunerii-suport a băncii față de instrumentele de capital sau față de pasivele incluse în indici ca alternativă la calcularea expunerii unei bănci față de elementele menționate la una sau mai multe dintre următoarele:</w:t>
      </w:r>
    </w:p>
    <w:p w14:paraId="12B2BFF1" w14:textId="77777777" w:rsidR="00071E51" w:rsidRPr="00071E51" w:rsidRDefault="00071E51" w:rsidP="00B81880">
      <w:pPr>
        <w:jc w:val="both"/>
        <w:rPr>
          <w:lang w:val="ro-MD" w:eastAsia="ro-MD"/>
        </w:rPr>
      </w:pPr>
      <w:r w:rsidRPr="00071E51">
        <w:rPr>
          <w:lang w:val="ro-MD" w:eastAsia="ro-MD"/>
        </w:rPr>
        <w:lastRenderedPageBreak/>
        <w:t>1) instrumentele proprii de fonduri proprii de nivel 1 de bază, instrumentele proprii de fonduri proprii de nivel 1 suplimentar, instrumentele proprii de fonduri proprii de nivel 2 și instrumentele proprii de pasive eligibile incluse în indici;</w:t>
      </w:r>
    </w:p>
    <w:p w14:paraId="6E7A4735" w14:textId="77777777" w:rsidR="00071E51" w:rsidRPr="00071E51" w:rsidRDefault="00071E51" w:rsidP="00B81880">
      <w:pPr>
        <w:jc w:val="both"/>
        <w:rPr>
          <w:lang w:val="ro-MD" w:eastAsia="ro-MD"/>
        </w:rPr>
      </w:pPr>
      <w:r w:rsidRPr="00071E51">
        <w:rPr>
          <w:lang w:val="ro-MD" w:eastAsia="ro-MD"/>
        </w:rPr>
        <w:t>2) instrumentele de fonduri proprii de nivel 1 de bază, instrumentele de fonduri proprii de nivel 1 suplimentar și instrumentele de fonduri proprii de nivel 2 ale entităților din sectorul financiar, incluse în indici;</w:t>
      </w:r>
    </w:p>
    <w:p w14:paraId="640AA11B" w14:textId="77D2B6A4" w:rsidR="00071E51" w:rsidRPr="00071E51" w:rsidRDefault="00071E51" w:rsidP="00B81880">
      <w:pPr>
        <w:jc w:val="both"/>
        <w:rPr>
          <w:lang w:val="ro-MD" w:eastAsia="ro-MD"/>
        </w:rPr>
      </w:pPr>
      <w:r w:rsidRPr="00071E51">
        <w:rPr>
          <w:lang w:val="ro-MD" w:eastAsia="ro-MD"/>
        </w:rPr>
        <w:t>3) instrumentele de pasive eligibile ale băncii, incluse în indici.</w:t>
      </w:r>
      <w:r w:rsidRPr="00071E51">
        <w:rPr>
          <w:sz w:val="18"/>
          <w:szCs w:val="18"/>
          <w:highlight w:val="lightGray"/>
          <w:lang w:val="ro-MD" w:eastAsia="ro-MD"/>
        </w:rPr>
        <w:t xml:space="preserve"> </w:t>
      </w:r>
    </w:p>
    <w:p w14:paraId="06D37589" w14:textId="38F4C36F" w:rsidR="00071E51" w:rsidRDefault="00071E51" w:rsidP="00B81880">
      <w:pPr>
        <w:jc w:val="both"/>
        <w:rPr>
          <w:lang w:val="ro-MD" w:eastAsia="ro-MD"/>
        </w:rPr>
      </w:pPr>
      <w:r w:rsidRPr="00071E51">
        <w:rPr>
          <w:b/>
          <w:bCs/>
          <w:lang w:val="ro-MD" w:eastAsia="ro-MD"/>
        </w:rPr>
        <w:t>11</w:t>
      </w:r>
      <w:r w:rsidR="00B81880">
        <w:rPr>
          <w:b/>
          <w:bCs/>
          <w:lang w:val="ro-MD" w:eastAsia="ro-MD"/>
        </w:rPr>
        <w:t>8</w:t>
      </w:r>
      <w:r w:rsidRPr="00071E51">
        <w:rPr>
          <w:b/>
          <w:bCs/>
          <w:vertAlign w:val="superscript"/>
          <w:lang w:val="ro-MD" w:eastAsia="ro-MD"/>
        </w:rPr>
        <w:t>3</w:t>
      </w:r>
      <w:r w:rsidRPr="00071E51">
        <w:rPr>
          <w:b/>
          <w:bCs/>
          <w:lang w:val="ro-MD" w:eastAsia="ro-MD"/>
        </w:rPr>
        <w:t>.</w:t>
      </w:r>
      <w:r w:rsidRPr="00071E51">
        <w:rPr>
          <w:lang w:val="ro-MD" w:eastAsia="ro-MD"/>
        </w:rPr>
        <w:t xml:space="preserve"> Banca Națională a Moldovei acordă aprobarea prealabilă menționată la punctul 11</w:t>
      </w:r>
      <w:r w:rsidR="00B81880">
        <w:rPr>
          <w:lang w:val="ro-MD" w:eastAsia="ro-MD"/>
        </w:rPr>
        <w:t>8</w:t>
      </w:r>
      <w:r w:rsidRPr="00071E51">
        <w:rPr>
          <w:vertAlign w:val="superscript"/>
          <w:lang w:val="ro-MD" w:eastAsia="ro-MD"/>
        </w:rPr>
        <w:t>2</w:t>
      </w:r>
      <w:r w:rsidRPr="00071E51">
        <w:rPr>
          <w:lang w:val="ro-MD" w:eastAsia="ro-MD"/>
        </w:rPr>
        <w:t xml:space="preserve"> doar în cazul în care banca a demonstrat, într-un mod pe care Banca Națională a Moldovei îl consideră satisfăcător, că ar fi împovărător din punct de vedere operațional, conform anexei 1, să își monitorizeze expunerea-suport față de unul sau mai multe dintre elementele menționate la punctul 11</w:t>
      </w:r>
      <w:r w:rsidR="00B81880">
        <w:rPr>
          <w:lang w:val="ro-MD" w:eastAsia="ro-MD"/>
        </w:rPr>
        <w:t>8</w:t>
      </w:r>
      <w:r w:rsidRPr="00071E51">
        <w:rPr>
          <w:vertAlign w:val="superscript"/>
          <w:lang w:val="ro-MD" w:eastAsia="ro-MD"/>
        </w:rPr>
        <w:t>2</w:t>
      </w:r>
      <w:r w:rsidRPr="00071E51">
        <w:rPr>
          <w:lang w:val="ro-MD" w:eastAsia="ro-MD"/>
        </w:rPr>
        <w:t xml:space="preserve">. </w:t>
      </w:r>
    </w:p>
    <w:p w14:paraId="422318F3" w14:textId="77777777" w:rsidR="00B3747B" w:rsidRPr="00B3747B" w:rsidRDefault="00B3747B" w:rsidP="00B3747B">
      <w:pPr>
        <w:jc w:val="both"/>
        <w:rPr>
          <w:lang w:val="ro-RO" w:eastAsia="ro-MD"/>
        </w:rPr>
      </w:pPr>
      <w:r w:rsidRPr="00B3747B">
        <w:rPr>
          <w:b/>
          <w:bCs/>
          <w:lang w:val="ro-RO" w:eastAsia="ro-MD"/>
        </w:rPr>
        <w:t>118</w:t>
      </w:r>
      <w:r w:rsidRPr="00B3747B">
        <w:rPr>
          <w:b/>
          <w:bCs/>
          <w:vertAlign w:val="superscript"/>
          <w:lang w:val="ro-RO" w:eastAsia="ro-MD"/>
        </w:rPr>
        <w:t>4</w:t>
      </w:r>
      <w:r w:rsidRPr="00B3747B">
        <w:rPr>
          <w:b/>
          <w:bCs/>
          <w:lang w:val="ro-RO" w:eastAsia="ro-MD"/>
        </w:rPr>
        <w:t>.</w:t>
      </w:r>
      <w:r w:rsidRPr="00B3747B">
        <w:rPr>
          <w:lang w:val="ro-RO" w:eastAsia="ro-MD"/>
        </w:rPr>
        <w:t xml:space="preserve"> Pentru obținerea aprobării menționate la punctul 118</w:t>
      </w:r>
      <w:r w:rsidRPr="00B3747B">
        <w:rPr>
          <w:vertAlign w:val="superscript"/>
          <w:lang w:val="ro-RO" w:eastAsia="ro-MD"/>
        </w:rPr>
        <w:t>2</w:t>
      </w:r>
      <w:r w:rsidRPr="00B3747B">
        <w:rPr>
          <w:lang w:val="ro-RO" w:eastAsia="ro-MD"/>
        </w:rPr>
        <w:t xml:space="preserve"> băncile vor adresa Băncii Naționale a Moldovei în scris o solicitare în acest sens, cu anexarea informației menționate la punctul 118</w:t>
      </w:r>
      <w:r w:rsidRPr="00B3747B">
        <w:rPr>
          <w:vertAlign w:val="superscript"/>
          <w:lang w:val="ro-RO" w:eastAsia="ro-MD"/>
        </w:rPr>
        <w:t>3</w:t>
      </w:r>
      <w:r w:rsidRPr="00B3747B">
        <w:rPr>
          <w:lang w:val="ro-RO" w:eastAsia="ro-MD"/>
        </w:rPr>
        <w:t>. Banca Națională a Moldovei va examina solicitarea respectivă în termen de cel mult 15 zile lucrătoare de la data solicitării respective însoțită de documentele menționate.</w:t>
      </w:r>
    </w:p>
    <w:p w14:paraId="7950AB62" w14:textId="08D06A22" w:rsidR="00071E51" w:rsidRPr="00071E51" w:rsidRDefault="00071E51" w:rsidP="00B81880">
      <w:pPr>
        <w:jc w:val="both"/>
        <w:rPr>
          <w:lang w:val="ro-MD" w:eastAsia="ro-MD"/>
        </w:rPr>
      </w:pPr>
      <w:r w:rsidRPr="00071E51">
        <w:rPr>
          <w:b/>
          <w:bCs/>
          <w:lang w:val="ro-MD" w:eastAsia="ro-MD"/>
        </w:rPr>
        <w:t>11</w:t>
      </w:r>
      <w:r w:rsidR="00B81880">
        <w:rPr>
          <w:b/>
          <w:bCs/>
          <w:lang w:val="ro-MD" w:eastAsia="ro-MD"/>
        </w:rPr>
        <w:t>8</w:t>
      </w:r>
      <w:r w:rsidR="00F51EE4">
        <w:rPr>
          <w:b/>
          <w:bCs/>
          <w:vertAlign w:val="superscript"/>
          <w:lang w:val="ro-MD" w:eastAsia="ro-MD"/>
        </w:rPr>
        <w:t>5</w:t>
      </w:r>
      <w:r w:rsidRPr="00071E51">
        <w:rPr>
          <w:b/>
          <w:bCs/>
          <w:lang w:val="ro-MD" w:eastAsia="ro-MD"/>
        </w:rPr>
        <w:t>.</w:t>
      </w:r>
      <w:r w:rsidRPr="00071E51">
        <w:rPr>
          <w:lang w:val="ro-MD" w:eastAsia="ro-MD"/>
        </w:rPr>
        <w:t xml:space="preserve"> În sensul punctului 11</w:t>
      </w:r>
      <w:r w:rsidR="00B81880">
        <w:rPr>
          <w:lang w:val="ro-MD" w:eastAsia="ro-MD"/>
        </w:rPr>
        <w:t>8</w:t>
      </w:r>
      <w:r w:rsidRPr="00071E51">
        <w:rPr>
          <w:vertAlign w:val="superscript"/>
          <w:lang w:val="ro-MD" w:eastAsia="ro-MD"/>
        </w:rPr>
        <w:t>2</w:t>
      </w:r>
      <w:r w:rsidRPr="00071E51">
        <w:rPr>
          <w:lang w:val="ro-MD" w:eastAsia="ro-MD"/>
        </w:rPr>
        <w:t>, o estimare este suficient de prudentă în cazul în care este întrunită oricare dintre următoarele condiții:</w:t>
      </w:r>
    </w:p>
    <w:p w14:paraId="26CBCBA9" w14:textId="23642B0D" w:rsidR="00071E51" w:rsidRPr="00071E51" w:rsidRDefault="00071E51" w:rsidP="00B81880">
      <w:pPr>
        <w:jc w:val="both"/>
        <w:rPr>
          <w:lang w:val="ro-MD" w:eastAsia="ro-MD"/>
        </w:rPr>
      </w:pPr>
      <w:r w:rsidRPr="00071E51">
        <w:rPr>
          <w:lang w:val="ro-MD" w:eastAsia="ro-MD"/>
        </w:rPr>
        <w:t>1) atunci când mandatul privind activitatea de investire a indicelui prevede că un instrument de fonduri proprii al unei entități din sectorul financiar sau un instrument de pasive eligibile al unei bănci care face parte din indice nu poate depăși un procent maxim din indice, banca utilizează acest procent ca o estimare pentru valoarea deținerilor care se deduce din elementele de fonduri proprii de nivel 1 de bază, de fonduri proprii de nivel 1 suplimentar sau de fonduri proprii de nivel 2, după caz, sau din elementele de fonduri proprii de nivel 1 de bază în situațiile în care banca nu poate stabili caracterul exact al deținerii;</w:t>
      </w:r>
    </w:p>
    <w:p w14:paraId="7350CC03" w14:textId="30CFD162" w:rsidR="00071E51" w:rsidRPr="00071E51" w:rsidRDefault="00071E51" w:rsidP="00B81880">
      <w:pPr>
        <w:jc w:val="both"/>
        <w:rPr>
          <w:lang w:val="ro-MD" w:eastAsia="ro-MD"/>
        </w:rPr>
      </w:pPr>
      <w:r w:rsidRPr="00071E51">
        <w:rPr>
          <w:lang w:val="ro-MD" w:eastAsia="ro-MD"/>
        </w:rPr>
        <w:t xml:space="preserve">2) atunci când banca nu poate stabili procentul maxim menționat la subpunctul 1) și în cazul în care indicele, astfel cum reiese din mandatul privind activitatea de investire sau din alte informații relevante, include instrumentele de fonduri proprii ale entităților din sectorul financiar sau instrumente de pasive eligibile ale băncilor, banca deduce valoarea totală a deținerilor bazate pe indici din elementele de fonduri proprii de nivel 1 de bază, de fonduri proprii de nivel 1 suplimentar sau de fonduri proprii de nivel 2, după caz, sau din elementele de fonduri proprii de nivel 1 de bază în situațiile în care banca nu poate stabili caracterul exact al deținerii. </w:t>
      </w:r>
      <w:r w:rsidRPr="00071E51">
        <w:rPr>
          <w:sz w:val="18"/>
          <w:szCs w:val="18"/>
          <w:highlight w:val="lightGray"/>
          <w:lang w:val="ro-MD" w:eastAsia="ro-MD"/>
        </w:rPr>
        <w:t xml:space="preserve"> </w:t>
      </w:r>
    </w:p>
    <w:p w14:paraId="7DAF8313" w14:textId="33F3EDFC" w:rsidR="00071E51" w:rsidRPr="00071E51" w:rsidRDefault="00071E51" w:rsidP="00B81880">
      <w:pPr>
        <w:jc w:val="both"/>
        <w:rPr>
          <w:lang w:val="ro-MD" w:eastAsia="ro-MD"/>
        </w:rPr>
      </w:pPr>
      <w:r w:rsidRPr="00071E51">
        <w:rPr>
          <w:b/>
          <w:bCs/>
          <w:lang w:val="ro-MD" w:eastAsia="ro-MD"/>
        </w:rPr>
        <w:t>11</w:t>
      </w:r>
      <w:r w:rsidR="00B81880">
        <w:rPr>
          <w:b/>
          <w:bCs/>
          <w:lang w:val="ro-MD" w:eastAsia="ro-MD"/>
        </w:rPr>
        <w:t>8</w:t>
      </w:r>
      <w:r w:rsidR="00F51EE4">
        <w:rPr>
          <w:b/>
          <w:bCs/>
          <w:vertAlign w:val="superscript"/>
          <w:lang w:val="ro-MD" w:eastAsia="ro-MD"/>
        </w:rPr>
        <w:t>6</w:t>
      </w:r>
      <w:r w:rsidRPr="00071E51">
        <w:rPr>
          <w:b/>
          <w:bCs/>
          <w:lang w:val="ro-MD" w:eastAsia="ro-MD"/>
        </w:rPr>
        <w:t>.</w:t>
      </w:r>
      <w:r w:rsidRPr="00071E51">
        <w:rPr>
          <w:lang w:val="ro-MD" w:eastAsia="ro-MD"/>
        </w:rPr>
        <w:t xml:space="preserve"> În scopul punctului 11</w:t>
      </w:r>
      <w:r w:rsidR="00B81880">
        <w:rPr>
          <w:lang w:val="ro-MD" w:eastAsia="ro-MD"/>
        </w:rPr>
        <w:t>8</w:t>
      </w:r>
      <w:r w:rsidR="00EC0988">
        <w:rPr>
          <w:vertAlign w:val="superscript"/>
          <w:lang w:val="ro-MD" w:eastAsia="ro-MD"/>
        </w:rPr>
        <w:t>5</w:t>
      </w:r>
      <w:r w:rsidRPr="00071E51">
        <w:rPr>
          <w:lang w:val="ro-MD" w:eastAsia="ro-MD"/>
        </w:rPr>
        <w:t>, se aplică următoarele:</w:t>
      </w:r>
    </w:p>
    <w:p w14:paraId="514476FF" w14:textId="77777777" w:rsidR="00071E51" w:rsidRPr="00071E51" w:rsidRDefault="00071E51" w:rsidP="00FF2FD6">
      <w:pPr>
        <w:jc w:val="both"/>
        <w:rPr>
          <w:lang w:val="ro-MD" w:eastAsia="ro-MD"/>
        </w:rPr>
      </w:pPr>
      <w:r w:rsidRPr="00071E51">
        <w:rPr>
          <w:lang w:val="ro-MD" w:eastAsia="ro-MD"/>
        </w:rPr>
        <w:t>1) o deținere indirectă care rezultă dintr-o deținere bazată pe indici cuprinde proporția indicelui investit în instrumentele de fonduri proprii de nivel 1 de bază, de fonduri proprii de nivel 1 suplimentar și de fonduri proprii de nivel 2 ale entităților din sectorul financiar și în instrumentele de pasive eligibile ale băncilor, incluse în indice;</w:t>
      </w:r>
    </w:p>
    <w:p w14:paraId="4A9601A8" w14:textId="3842C4BB" w:rsidR="00071E51" w:rsidRPr="00071E51" w:rsidRDefault="00071E51" w:rsidP="00FF2FD6">
      <w:pPr>
        <w:jc w:val="both"/>
        <w:rPr>
          <w:lang w:val="ro-MD" w:eastAsia="ro-MD"/>
        </w:rPr>
      </w:pPr>
      <w:r w:rsidRPr="00071E51">
        <w:rPr>
          <w:lang w:val="ro-MD" w:eastAsia="ro-MD"/>
        </w:rPr>
        <w:t>2) un indice include fonduri de indice, indici pe acțiuni sau obligațiuni sau orice altă schemă în care instrumentul-suport este un instrument de fonduri proprii emis de o entitate din sectorul financiar sau un instrument de pasive eligibile emis de o bancă.</w:t>
      </w:r>
    </w:p>
    <w:p w14:paraId="2C0CC0AD" w14:textId="604C0DAF" w:rsidR="00071E51" w:rsidRPr="00071E51" w:rsidRDefault="00071E51" w:rsidP="00FF2FD6">
      <w:pPr>
        <w:spacing w:before="80"/>
        <w:jc w:val="center"/>
        <w:rPr>
          <w:lang w:val="ro-MD" w:eastAsia="ro-MD"/>
        </w:rPr>
      </w:pPr>
      <w:r w:rsidRPr="00071E51">
        <w:rPr>
          <w:b/>
          <w:bCs/>
          <w:i/>
          <w:iCs/>
          <w:lang w:val="ro-MD" w:eastAsia="ro-MD"/>
        </w:rPr>
        <w:t>Secțiunea 2</w:t>
      </w:r>
      <w:r w:rsidRPr="00071E51">
        <w:rPr>
          <w:b/>
          <w:bCs/>
          <w:i/>
          <w:iCs/>
          <w:vertAlign w:val="superscript"/>
          <w:lang w:val="ro-MD" w:eastAsia="ro-MD"/>
        </w:rPr>
        <w:t>2</w:t>
      </w:r>
    </w:p>
    <w:p w14:paraId="004867F8" w14:textId="77777777" w:rsidR="00071E51" w:rsidRPr="00071E51" w:rsidRDefault="00071E51" w:rsidP="00071E51">
      <w:pPr>
        <w:ind w:firstLine="567"/>
        <w:jc w:val="center"/>
        <w:rPr>
          <w:b/>
          <w:bCs/>
          <w:i/>
          <w:iCs/>
          <w:lang w:val="ro-MD" w:eastAsia="ro-MD"/>
        </w:rPr>
      </w:pPr>
      <w:r w:rsidRPr="00071E51">
        <w:rPr>
          <w:b/>
          <w:bCs/>
          <w:i/>
          <w:iCs/>
          <w:lang w:val="ro-MD" w:eastAsia="ro-MD"/>
        </w:rPr>
        <w:t>Evaluarea conformității cu condițiile privind instrumentele</w:t>
      </w:r>
    </w:p>
    <w:p w14:paraId="74C954A1" w14:textId="77777777" w:rsidR="00071E51" w:rsidRPr="00071E51" w:rsidRDefault="00071E51" w:rsidP="00071E51">
      <w:pPr>
        <w:ind w:firstLine="567"/>
        <w:jc w:val="center"/>
        <w:rPr>
          <w:lang w:val="ro-MD" w:eastAsia="ro-MD"/>
        </w:rPr>
      </w:pPr>
      <w:r w:rsidRPr="00071E51">
        <w:rPr>
          <w:b/>
          <w:bCs/>
          <w:i/>
          <w:iCs/>
          <w:lang w:val="ro-MD" w:eastAsia="ro-MD"/>
        </w:rPr>
        <w:t>de fonduri proprii și de pasive eligibile</w:t>
      </w:r>
    </w:p>
    <w:p w14:paraId="6AC0A5E3" w14:textId="0A911985" w:rsidR="00071E51" w:rsidRPr="00071E51" w:rsidRDefault="00071E51" w:rsidP="00CE4D09">
      <w:pPr>
        <w:jc w:val="both"/>
        <w:rPr>
          <w:lang w:val="ro-MD" w:eastAsia="ro-MD"/>
        </w:rPr>
      </w:pPr>
      <w:r w:rsidRPr="00071E51">
        <w:rPr>
          <w:b/>
          <w:bCs/>
          <w:lang w:val="ro-MD" w:eastAsia="ro-MD"/>
        </w:rPr>
        <w:t>11</w:t>
      </w:r>
      <w:r w:rsidR="00CE4D09">
        <w:rPr>
          <w:b/>
          <w:bCs/>
          <w:lang w:val="ro-MD" w:eastAsia="ro-MD"/>
        </w:rPr>
        <w:t>8</w:t>
      </w:r>
      <w:r w:rsidR="00F51EE4">
        <w:rPr>
          <w:b/>
          <w:bCs/>
          <w:vertAlign w:val="superscript"/>
          <w:lang w:val="ro-MD" w:eastAsia="ro-MD"/>
        </w:rPr>
        <w:t>7</w:t>
      </w:r>
      <w:r w:rsidRPr="00071E51">
        <w:rPr>
          <w:b/>
          <w:bCs/>
          <w:lang w:val="ro-MD" w:eastAsia="ro-MD"/>
        </w:rPr>
        <w:t>.</w:t>
      </w:r>
      <w:r w:rsidR="00CE4D09">
        <w:rPr>
          <w:lang w:val="ro-MD" w:eastAsia="ro-MD"/>
        </w:rPr>
        <w:t xml:space="preserve"> </w:t>
      </w:r>
      <w:r w:rsidRPr="00071E51">
        <w:rPr>
          <w:lang w:val="ro-MD" w:eastAsia="ro-MD"/>
        </w:rPr>
        <w:t>Băncile țin seama de caracteristicile de fond ale instrumentelor și nu doar de forma lor juridică atunci când evaluează conformitatea cu cerințele stabilite în capitolele I – VI.</w:t>
      </w:r>
    </w:p>
    <w:p w14:paraId="041FBD8F" w14:textId="60FCB387" w:rsidR="00876168" w:rsidRDefault="00071E51" w:rsidP="00CE4D09">
      <w:pPr>
        <w:jc w:val="both"/>
        <w:rPr>
          <w:lang w:val="ro-MD" w:eastAsia="ro-MD"/>
        </w:rPr>
      </w:pPr>
      <w:r w:rsidRPr="00071E51">
        <w:rPr>
          <w:b/>
          <w:bCs/>
          <w:lang w:val="ro-MD" w:eastAsia="ro-MD"/>
        </w:rPr>
        <w:t>11</w:t>
      </w:r>
      <w:r w:rsidR="00CE4D09">
        <w:rPr>
          <w:b/>
          <w:bCs/>
          <w:lang w:val="ro-MD" w:eastAsia="ro-MD"/>
        </w:rPr>
        <w:t>8</w:t>
      </w:r>
      <w:r w:rsidR="00F51EE4">
        <w:rPr>
          <w:b/>
          <w:bCs/>
          <w:vertAlign w:val="superscript"/>
          <w:lang w:val="ro-MD" w:eastAsia="ro-MD"/>
        </w:rPr>
        <w:t>8</w:t>
      </w:r>
      <w:r w:rsidRPr="00071E51">
        <w:rPr>
          <w:b/>
          <w:bCs/>
          <w:lang w:val="ro-MD" w:eastAsia="ro-MD"/>
        </w:rPr>
        <w:t xml:space="preserve">. </w:t>
      </w:r>
      <w:r w:rsidRPr="00071E51">
        <w:rPr>
          <w:lang w:val="ro-MD" w:eastAsia="ro-MD"/>
        </w:rPr>
        <w:t xml:space="preserve">Pentru evaluarea caracteristicilor de fond ale unui instrument se iau în considerare toate acordurile legate de instrumente, chiar și în cazul în care acestea nu sunt prevăzute în mod explicit în </w:t>
      </w:r>
      <w:r w:rsidRPr="00071E51">
        <w:rPr>
          <w:lang w:val="ro-MD" w:eastAsia="ro-MD"/>
        </w:rPr>
        <w:lastRenderedPageBreak/>
        <w:t>termenele și condițiile instrumentelor propriu-zise, pentru a stabili dacă efectele economice combinate ale acestor acorduri sunt conforme cu obiectivul dispozițiilor relevante.</w:t>
      </w:r>
      <w:r w:rsidR="008E442C">
        <w:rPr>
          <w:lang w:val="ro-MD" w:eastAsia="ro-MD"/>
        </w:rPr>
        <w:t>”.</w:t>
      </w:r>
    </w:p>
    <w:p w14:paraId="7280160E" w14:textId="4DAC1295" w:rsidR="00876168" w:rsidRDefault="0047220E" w:rsidP="00FF2FD6">
      <w:pPr>
        <w:pStyle w:val="ListParagraph"/>
        <w:numPr>
          <w:ilvl w:val="1"/>
          <w:numId w:val="27"/>
        </w:numPr>
        <w:spacing w:before="80"/>
        <w:ind w:left="0" w:firstLine="567"/>
        <w:contextualSpacing w:val="0"/>
        <w:jc w:val="both"/>
        <w:rPr>
          <w:lang w:val="ro-MD" w:eastAsia="ro-MD"/>
        </w:rPr>
      </w:pPr>
      <w:r>
        <w:rPr>
          <w:lang w:val="ro-MD" w:eastAsia="ro-MD"/>
        </w:rPr>
        <w:t>La p</w:t>
      </w:r>
      <w:r w:rsidR="00876168">
        <w:rPr>
          <w:lang w:val="ro-MD" w:eastAsia="ro-MD"/>
        </w:rPr>
        <w:t>unctul 119:</w:t>
      </w:r>
    </w:p>
    <w:p w14:paraId="1B3B4DC0" w14:textId="2F2505DB" w:rsidR="00876168" w:rsidRDefault="00876168" w:rsidP="00FF10CA">
      <w:pPr>
        <w:pStyle w:val="ListParagraph"/>
        <w:numPr>
          <w:ilvl w:val="2"/>
          <w:numId w:val="27"/>
        </w:numPr>
        <w:ind w:left="0" w:firstLine="567"/>
        <w:jc w:val="both"/>
        <w:rPr>
          <w:lang w:val="ro-MD" w:eastAsia="ro-MD"/>
        </w:rPr>
      </w:pPr>
      <w:r>
        <w:rPr>
          <w:lang w:val="ro-MD" w:eastAsia="ro-MD"/>
        </w:rPr>
        <w:t>la subpunctul 1)</w:t>
      </w:r>
      <w:r w:rsidR="00225FB7">
        <w:rPr>
          <w:lang w:val="ro-MD" w:eastAsia="ro-MD"/>
        </w:rPr>
        <w:t>,</w:t>
      </w:r>
      <w:r>
        <w:rPr>
          <w:lang w:val="ro-MD" w:eastAsia="ro-MD"/>
        </w:rPr>
        <w:t xml:space="preserve"> textele„ , a rambursa” și „și/sau” se exclud;</w:t>
      </w:r>
    </w:p>
    <w:p w14:paraId="6DC4C7C6" w14:textId="20FA3C16" w:rsidR="00876168" w:rsidRDefault="00876168" w:rsidP="00FF10CA">
      <w:pPr>
        <w:pStyle w:val="ListParagraph"/>
        <w:numPr>
          <w:ilvl w:val="2"/>
          <w:numId w:val="27"/>
        </w:numPr>
        <w:ind w:left="0" w:firstLine="567"/>
        <w:jc w:val="both"/>
        <w:rPr>
          <w:lang w:val="ro-MD" w:eastAsia="ro-MD"/>
        </w:rPr>
      </w:pPr>
      <w:r>
        <w:rPr>
          <w:lang w:val="ro-MD" w:eastAsia="ro-MD"/>
        </w:rPr>
        <w:t>la subpunctul 2)</w:t>
      </w:r>
      <w:r w:rsidR="00225FB7">
        <w:rPr>
          <w:lang w:val="ro-MD" w:eastAsia="ro-MD"/>
        </w:rPr>
        <w:t>,</w:t>
      </w:r>
      <w:r>
        <w:rPr>
          <w:lang w:val="ro-MD" w:eastAsia="ro-MD"/>
        </w:rPr>
        <w:t xml:space="preserve"> după cuvântul „cumpărare” se completează cu </w:t>
      </w:r>
      <w:r w:rsidR="00994775">
        <w:rPr>
          <w:lang w:val="ro-MD" w:eastAsia="ro-MD"/>
        </w:rPr>
        <w:t>textul</w:t>
      </w:r>
      <w:r>
        <w:rPr>
          <w:lang w:val="ro-MD" w:eastAsia="ro-MD"/>
        </w:rPr>
        <w:t xml:space="preserve"> „(</w:t>
      </w:r>
      <w:proofErr w:type="spellStart"/>
      <w:r>
        <w:rPr>
          <w:lang w:val="ro-MD" w:eastAsia="ro-MD"/>
        </w:rPr>
        <w:t>call</w:t>
      </w:r>
      <w:proofErr w:type="spellEnd"/>
      <w:r>
        <w:rPr>
          <w:lang w:val="ro-MD" w:eastAsia="ro-MD"/>
        </w:rPr>
        <w:t>)”;</w:t>
      </w:r>
    </w:p>
    <w:p w14:paraId="19EC018E" w14:textId="35D7F870" w:rsidR="00876168" w:rsidRDefault="00876168" w:rsidP="00FF10CA">
      <w:pPr>
        <w:pStyle w:val="ListParagraph"/>
        <w:numPr>
          <w:ilvl w:val="2"/>
          <w:numId w:val="27"/>
        </w:numPr>
        <w:ind w:left="0" w:firstLine="567"/>
        <w:jc w:val="both"/>
        <w:rPr>
          <w:lang w:val="ro-MD" w:eastAsia="ro-MD"/>
        </w:rPr>
      </w:pPr>
      <w:r>
        <w:rPr>
          <w:lang w:val="ro-MD" w:eastAsia="ro-MD"/>
        </w:rPr>
        <w:t>se completează cu subpunctul 3) cu următorul cuprins:</w:t>
      </w:r>
    </w:p>
    <w:p w14:paraId="17A6CC3E" w14:textId="0FB8B1C5" w:rsidR="00876168" w:rsidRDefault="00876168" w:rsidP="00994775">
      <w:pPr>
        <w:jc w:val="both"/>
        <w:rPr>
          <w:sz w:val="18"/>
          <w:szCs w:val="18"/>
          <w:lang w:val="ro-MD" w:eastAsia="ro-MD"/>
        </w:rPr>
      </w:pPr>
      <w:r>
        <w:rPr>
          <w:lang w:val="ro-MD" w:eastAsia="ro-MD"/>
        </w:rPr>
        <w:t>„</w:t>
      </w:r>
      <w:r w:rsidRPr="00876168">
        <w:rPr>
          <w:lang w:val="ro-MD" w:eastAsia="ro-MD"/>
        </w:rPr>
        <w:t>3) a reduce, a distribui sau a reclasifica conturile de prime de emisiune aferente instrumentelor de fonduri proprii drept un alt element de fonduri proprii.</w:t>
      </w:r>
      <w:r>
        <w:rPr>
          <w:sz w:val="18"/>
          <w:szCs w:val="18"/>
          <w:lang w:val="ro-MD" w:eastAsia="ro-MD"/>
        </w:rPr>
        <w:t>”.</w:t>
      </w:r>
    </w:p>
    <w:p w14:paraId="01A78D5C" w14:textId="5A4724A7" w:rsidR="00876168" w:rsidRDefault="00876168" w:rsidP="00FF2FD6">
      <w:pPr>
        <w:pStyle w:val="ListParagraph"/>
        <w:numPr>
          <w:ilvl w:val="1"/>
          <w:numId w:val="27"/>
        </w:numPr>
        <w:spacing w:before="80"/>
        <w:ind w:left="0" w:firstLine="567"/>
        <w:contextualSpacing w:val="0"/>
        <w:jc w:val="both"/>
        <w:rPr>
          <w:lang w:val="ro-MD" w:eastAsia="ro-MD"/>
        </w:rPr>
      </w:pPr>
      <w:r>
        <w:rPr>
          <w:lang w:val="ro-MD" w:eastAsia="ro-MD"/>
        </w:rPr>
        <w:t>Se completează cu punctul 119</w:t>
      </w:r>
      <w:r>
        <w:rPr>
          <w:vertAlign w:val="superscript"/>
          <w:lang w:val="ro-MD" w:eastAsia="ro-MD"/>
        </w:rPr>
        <w:t xml:space="preserve">1 </w:t>
      </w:r>
      <w:r>
        <w:rPr>
          <w:lang w:val="ro-MD" w:eastAsia="ro-MD"/>
        </w:rPr>
        <w:t>cu următorul cuprins:</w:t>
      </w:r>
    </w:p>
    <w:p w14:paraId="4AD0CC5E" w14:textId="239BB6F5" w:rsidR="00876168" w:rsidRDefault="00876168" w:rsidP="00876168">
      <w:pPr>
        <w:jc w:val="both"/>
        <w:rPr>
          <w:lang w:val="ro-MD" w:eastAsia="ro-MD"/>
        </w:rPr>
      </w:pPr>
      <w:r>
        <w:rPr>
          <w:lang w:val="ro-MD" w:eastAsia="ro-MD"/>
        </w:rPr>
        <w:t>„</w:t>
      </w:r>
      <w:r w:rsidRPr="00876168">
        <w:rPr>
          <w:b/>
          <w:bCs/>
          <w:lang w:val="ro-MD" w:eastAsia="ro-MD"/>
        </w:rPr>
        <w:t>119</w:t>
      </w:r>
      <w:r w:rsidRPr="00876168">
        <w:rPr>
          <w:b/>
          <w:bCs/>
          <w:vertAlign w:val="superscript"/>
          <w:lang w:val="ro-MD" w:eastAsia="ro-MD"/>
        </w:rPr>
        <w:t>1</w:t>
      </w:r>
      <w:r w:rsidRPr="00876168">
        <w:rPr>
          <w:b/>
          <w:bCs/>
          <w:lang w:val="ro-MD" w:eastAsia="ro-MD"/>
        </w:rPr>
        <w:t>.</w:t>
      </w:r>
      <w:r w:rsidRPr="00876168">
        <w:rPr>
          <w:lang w:val="ro-MD" w:eastAsia="ro-MD"/>
        </w:rPr>
        <w:t xml:space="preserve"> O bancă solicită aprobarea prealabilă a </w:t>
      </w:r>
      <w:r w:rsidRPr="00876168">
        <w:rPr>
          <w:lang w:val="ro-RO" w:eastAsia="ro-MD"/>
        </w:rPr>
        <w:t xml:space="preserve">Băncii Naționale a Moldovei, în calitate de </w:t>
      </w:r>
      <w:r w:rsidRPr="00876168">
        <w:rPr>
          <w:lang w:val="ro-MD" w:eastAsia="ro-MD"/>
        </w:rPr>
        <w:t>autoritate de rezoluție, pentru a exercita opțiunile de cumpărare (</w:t>
      </w:r>
      <w:proofErr w:type="spellStart"/>
      <w:r w:rsidRPr="00876168">
        <w:rPr>
          <w:lang w:val="ro-MD" w:eastAsia="ro-MD"/>
        </w:rPr>
        <w:t>call</w:t>
      </w:r>
      <w:proofErr w:type="spellEnd"/>
      <w:r w:rsidRPr="00876168">
        <w:rPr>
          <w:lang w:val="ro-MD" w:eastAsia="ro-MD"/>
        </w:rPr>
        <w:t>) sau pentru a răscumpăra sau a rambursa instrumentele de pasive eligibile care nu sunt vizate la punctul 119, înainte de data scadenței contractuale a acestora.</w:t>
      </w:r>
      <w:r>
        <w:rPr>
          <w:lang w:val="ro-MD" w:eastAsia="ro-MD"/>
        </w:rPr>
        <w:t>”.</w:t>
      </w:r>
    </w:p>
    <w:p w14:paraId="52ED0BCE" w14:textId="29C084BB" w:rsidR="000265C3" w:rsidRDefault="00D520B3" w:rsidP="00FF2FD6">
      <w:pPr>
        <w:pStyle w:val="ListParagraph"/>
        <w:numPr>
          <w:ilvl w:val="1"/>
          <w:numId w:val="27"/>
        </w:numPr>
        <w:spacing w:before="80"/>
        <w:ind w:left="0" w:firstLine="567"/>
        <w:contextualSpacing w:val="0"/>
        <w:jc w:val="both"/>
        <w:rPr>
          <w:lang w:val="ro-MD" w:eastAsia="ro-MD"/>
        </w:rPr>
      </w:pPr>
      <w:r>
        <w:rPr>
          <w:lang w:val="ro-MD" w:eastAsia="ro-MD"/>
        </w:rPr>
        <w:t>La p</w:t>
      </w:r>
      <w:r w:rsidR="00876168">
        <w:rPr>
          <w:lang w:val="ro-MD" w:eastAsia="ro-MD"/>
        </w:rPr>
        <w:t>unctul 120</w:t>
      </w:r>
      <w:r w:rsidR="000265C3">
        <w:rPr>
          <w:lang w:val="ro-MD" w:eastAsia="ro-MD"/>
        </w:rPr>
        <w:t>:</w:t>
      </w:r>
    </w:p>
    <w:p w14:paraId="31554DA2" w14:textId="3ADFEBC3" w:rsidR="000842B5" w:rsidRDefault="00F46B38" w:rsidP="000842B5">
      <w:pPr>
        <w:pStyle w:val="ListParagraph"/>
        <w:numPr>
          <w:ilvl w:val="2"/>
          <w:numId w:val="27"/>
        </w:numPr>
        <w:ind w:left="0" w:firstLine="567"/>
        <w:jc w:val="both"/>
        <w:rPr>
          <w:lang w:val="ro-MD" w:eastAsia="ro-MD"/>
        </w:rPr>
      </w:pPr>
      <w:r>
        <w:rPr>
          <w:lang w:val="ro-MD" w:eastAsia="ro-MD"/>
        </w:rPr>
        <w:t>alineat</w:t>
      </w:r>
      <w:r w:rsidR="00C936FF">
        <w:rPr>
          <w:lang w:val="ro-MD" w:eastAsia="ro-MD"/>
        </w:rPr>
        <w:t>ul introductiv</w:t>
      </w:r>
      <w:r w:rsidR="009464B9">
        <w:rPr>
          <w:lang w:val="ro-MD" w:eastAsia="ro-MD"/>
        </w:rPr>
        <w:t xml:space="preserve"> va avea următorul cuprins</w:t>
      </w:r>
      <w:r w:rsidR="008A6650">
        <w:rPr>
          <w:lang w:val="ro-MD" w:eastAsia="ro-MD"/>
        </w:rPr>
        <w:t>:</w:t>
      </w:r>
    </w:p>
    <w:p w14:paraId="0AE6B4E3" w14:textId="08E4CE43" w:rsidR="00876168" w:rsidRPr="000842B5" w:rsidRDefault="009464B9" w:rsidP="009464B9">
      <w:pPr>
        <w:pStyle w:val="ListParagraph"/>
        <w:tabs>
          <w:tab w:val="left" w:pos="0"/>
        </w:tabs>
        <w:ind w:left="0"/>
        <w:jc w:val="both"/>
        <w:rPr>
          <w:lang w:val="ro-MD" w:eastAsia="ro-MD"/>
        </w:rPr>
      </w:pPr>
      <w:r>
        <w:rPr>
          <w:lang w:val="ro-MD" w:eastAsia="ro-MD"/>
        </w:rPr>
        <w:t>„</w:t>
      </w:r>
      <w:r w:rsidRPr="009464B9">
        <w:rPr>
          <w:lang w:val="ro-MD" w:eastAsia="ro-MD"/>
        </w:rPr>
        <w:t>Banca Națională a Moldovei, în calitate de autoritate competentă, acordă unei bănci aprobarea să reducă, să răscumpere sau să ramburseze instrumentele de fonduri proprii de nivel 1 de bază, instrumentele de fonduri proprii de nivel 1 suplimentar și instrumentele de fonduri proprii de nivel 2 sau să exercite opțiunile de cumpărare, inclusiv prin înlocuirea lor cu alte instrumente de fonduri proprii, sau să reducă, să distribuie sau să reclasifice conturile de prime de emisiune aferente, dacă banca a demonstrat Băncii Naționale a Moldovei, iar Banca Națională a Moldovei consideră, în baza informației disponibile, că:</w:t>
      </w:r>
      <w:r w:rsidR="000265C3" w:rsidRPr="000842B5">
        <w:rPr>
          <w:lang w:val="ro-MD" w:eastAsia="ro-MD"/>
        </w:rPr>
        <w:t>”;</w:t>
      </w:r>
    </w:p>
    <w:p w14:paraId="3BAD2212" w14:textId="458F6814" w:rsidR="00274BC3" w:rsidRDefault="00274BC3" w:rsidP="00FF10CA">
      <w:pPr>
        <w:pStyle w:val="ListParagraph"/>
        <w:numPr>
          <w:ilvl w:val="2"/>
          <w:numId w:val="27"/>
        </w:numPr>
        <w:ind w:left="0" w:firstLine="567"/>
        <w:jc w:val="both"/>
        <w:rPr>
          <w:lang w:val="ro-MD" w:eastAsia="ro-MD"/>
        </w:rPr>
      </w:pPr>
      <w:r>
        <w:rPr>
          <w:lang w:val="ro-MD" w:eastAsia="ro-MD"/>
        </w:rPr>
        <w:t>în ultimul alineat</w:t>
      </w:r>
      <w:r w:rsidR="00225FB7">
        <w:rPr>
          <w:lang w:val="ro-MD" w:eastAsia="ro-MD"/>
        </w:rPr>
        <w:t>,</w:t>
      </w:r>
      <w:r>
        <w:rPr>
          <w:lang w:val="ro-MD" w:eastAsia="ro-MD"/>
        </w:rPr>
        <w:t xml:space="preserve"> după </w:t>
      </w:r>
      <w:r w:rsidR="00FE7ED8">
        <w:rPr>
          <w:lang w:val="ro-MD" w:eastAsia="ro-MD"/>
        </w:rPr>
        <w:t>textul</w:t>
      </w:r>
      <w:r>
        <w:rPr>
          <w:lang w:val="ro-MD" w:eastAsia="ro-MD"/>
        </w:rPr>
        <w:t xml:space="preserve"> „</w:t>
      </w:r>
      <w:r w:rsidRPr="00274BC3">
        <w:rPr>
          <w:lang w:val="ro-MD" w:eastAsia="ro-MD"/>
        </w:rPr>
        <w:t>fonduri proprii de nivel 2</w:t>
      </w:r>
      <w:r>
        <w:rPr>
          <w:lang w:val="ro-MD" w:eastAsia="ro-MD"/>
        </w:rPr>
        <w:t>” se completează cu cuvintele „</w:t>
      </w:r>
      <w:r w:rsidRPr="00274BC3">
        <w:rPr>
          <w:lang w:val="ro-MD" w:eastAsia="ro-MD"/>
        </w:rPr>
        <w:t>sau conturile de prime de emisiune aferente</w:t>
      </w:r>
      <w:r>
        <w:rPr>
          <w:lang w:val="ro-MD" w:eastAsia="ro-MD"/>
        </w:rPr>
        <w:t>”.</w:t>
      </w:r>
    </w:p>
    <w:p w14:paraId="4868E1DA" w14:textId="64EA82D9" w:rsidR="00274BC3" w:rsidRDefault="00274BC3" w:rsidP="00FF2FD6">
      <w:pPr>
        <w:pStyle w:val="ListParagraph"/>
        <w:numPr>
          <w:ilvl w:val="1"/>
          <w:numId w:val="27"/>
        </w:numPr>
        <w:spacing w:before="80"/>
        <w:ind w:left="0" w:firstLine="567"/>
        <w:contextualSpacing w:val="0"/>
        <w:jc w:val="both"/>
        <w:rPr>
          <w:lang w:val="ro-MD" w:eastAsia="ro-MD"/>
        </w:rPr>
      </w:pPr>
      <w:r>
        <w:rPr>
          <w:lang w:val="ro-MD" w:eastAsia="ro-MD"/>
        </w:rPr>
        <w:t xml:space="preserve"> Se completează cu punctul 120</w:t>
      </w:r>
      <w:r>
        <w:rPr>
          <w:vertAlign w:val="superscript"/>
          <w:lang w:val="ro-MD" w:eastAsia="ro-MD"/>
        </w:rPr>
        <w:t>1</w:t>
      </w:r>
      <w:r>
        <w:rPr>
          <w:lang w:val="ro-MD" w:eastAsia="ro-MD"/>
        </w:rPr>
        <w:t xml:space="preserve"> cu următorul cuprins:</w:t>
      </w:r>
    </w:p>
    <w:p w14:paraId="40548496" w14:textId="78DA807D" w:rsidR="00274BC3" w:rsidRDefault="00274BC3" w:rsidP="00977E43">
      <w:pPr>
        <w:jc w:val="both"/>
        <w:rPr>
          <w:lang w:val="ro-MD" w:eastAsia="ro-MD"/>
        </w:rPr>
      </w:pPr>
      <w:r>
        <w:rPr>
          <w:lang w:val="ro-MD" w:eastAsia="ro-MD"/>
        </w:rPr>
        <w:t>„</w:t>
      </w:r>
      <w:r w:rsidRPr="00274BC3">
        <w:rPr>
          <w:b/>
          <w:bCs/>
          <w:lang w:val="ro-MD" w:eastAsia="ro-MD"/>
        </w:rPr>
        <w:t>120</w:t>
      </w:r>
      <w:r w:rsidRPr="00274BC3">
        <w:rPr>
          <w:b/>
          <w:bCs/>
          <w:vertAlign w:val="superscript"/>
          <w:lang w:val="ro-MD" w:eastAsia="ro-MD"/>
        </w:rPr>
        <w:t>1</w:t>
      </w:r>
      <w:r w:rsidRPr="00274BC3">
        <w:rPr>
          <w:b/>
          <w:bCs/>
          <w:lang w:val="ro-MD" w:eastAsia="ro-MD"/>
        </w:rPr>
        <w:t xml:space="preserve">. </w:t>
      </w:r>
      <w:r w:rsidRPr="00274BC3">
        <w:rPr>
          <w:lang w:val="ro-MD" w:eastAsia="ro-MD"/>
        </w:rPr>
        <w:t>În cazul în care banca oferă garanții suficiente cu privire la capacitatea sa de a funcționa cu fonduri proprii al căror cuantum depășește cerințele de fonduri proprii prevăzute de prezentul regulament, inclusiv cerințele suplimentare de fonduri proprii impuse de Banca Națională a Moldovei în temeiul art.139 alin.(5) din Legea nr.202/2017, precum și cerința de amortizor combinat stabilită în Regulamentul nr.110/2018, Banca Națională a Moldovei poate acorda băncii respective o aprobare prealabilă generală de a efectua oricare dintre acțiunile prevăzute la punctul 119, sub rezerva unor criterii care să asigure că orice astfel de acțiune viitoare este realizată cu respectarea condițiilor prevăzute la punctul 120. Această aprobare prealabilă generală se acordă pentru o perioadă care nu depășește un an, cu posibilitate de reînnoire. Aprobarea prealabilă generală se acordă numai pentru un anumit cuantum prestabilit, care este fixat de Banca Națională a Moldovei. În cazul instrumentelor de fonduri proprii de nivel 1 de bază, acest cuantum prestabilit nu depășește 3% din emisiunea relevantă și nu depășește 10% din cuantumul cu care fondurile proprii de nivel 1 de bază depășesc suma cerințelor de capital pentru fondurile proprii de nivel 1 de bază prevăzute în prezentul regulament și cerințele suplimentare de fonduri proprii impuse de Banca Națională a Moldovei în temeiul art.139 alin.(5) din Legea nr.202/2017, precum și cerința de amortizor combinat stabilită în Regulamentul nr.110/2018. În cazul instrumentelor de fonduri proprii de nivel 1 suplimentar sau instrumentelor de fonduri proprii de nivel 2, acest cuantum prestabilit nu depășește 10% din emisiunea relevantă și nu depășește 3% din cuantumul total al instrumentelor de fonduri proprii de nivel 1 suplimentar sau instrumentelor de fonduri proprii de nivel 2, după caz, aflate în circulație.</w:t>
      </w:r>
    </w:p>
    <w:p w14:paraId="146D69C0" w14:textId="7180285A" w:rsidR="00274BC3" w:rsidRDefault="004741E1" w:rsidP="004741E1">
      <w:pPr>
        <w:ind w:firstLine="567"/>
        <w:jc w:val="both"/>
        <w:rPr>
          <w:lang w:val="ro-MD" w:eastAsia="ro-MD"/>
        </w:rPr>
      </w:pPr>
      <w:r w:rsidRPr="004741E1">
        <w:rPr>
          <w:lang w:val="ro-MD" w:eastAsia="ro-MD"/>
        </w:rPr>
        <w:t>Banca Națională a Moldovei, în calitate de autoritate competentă, retrage aprobarea prealabilă generală în cazul în care banca încalcă oricare dintre criteriile prevăzute în scopul aprobării respective</w:t>
      </w:r>
      <w:r w:rsidR="00274BC3" w:rsidRPr="00274BC3">
        <w:rPr>
          <w:lang w:val="ro-MD" w:eastAsia="ro-MD"/>
        </w:rPr>
        <w:t>.</w:t>
      </w:r>
      <w:r w:rsidR="00274BC3">
        <w:rPr>
          <w:lang w:val="ro-MD" w:eastAsia="ro-MD"/>
        </w:rPr>
        <w:t>”.</w:t>
      </w:r>
    </w:p>
    <w:p w14:paraId="7AC65AB3" w14:textId="0B966927" w:rsidR="00274BC3" w:rsidRDefault="00977E43" w:rsidP="00D12B88">
      <w:pPr>
        <w:pStyle w:val="ListParagraph"/>
        <w:numPr>
          <w:ilvl w:val="1"/>
          <w:numId w:val="27"/>
        </w:numPr>
        <w:spacing w:before="80"/>
        <w:ind w:left="0" w:firstLine="568"/>
        <w:contextualSpacing w:val="0"/>
        <w:jc w:val="both"/>
        <w:rPr>
          <w:lang w:val="ro-MD" w:eastAsia="ro-MD"/>
        </w:rPr>
      </w:pPr>
      <w:r>
        <w:rPr>
          <w:lang w:val="ro-MD" w:eastAsia="ro-MD"/>
        </w:rPr>
        <w:lastRenderedPageBreak/>
        <w:t>La p</w:t>
      </w:r>
      <w:r w:rsidR="002C3979">
        <w:rPr>
          <w:lang w:val="ro-MD" w:eastAsia="ro-MD"/>
        </w:rPr>
        <w:t>unctul 121</w:t>
      </w:r>
      <w:r w:rsidR="00225FB7">
        <w:rPr>
          <w:lang w:val="ro-MD" w:eastAsia="ro-MD"/>
        </w:rPr>
        <w:t>,</w:t>
      </w:r>
      <w:r w:rsidR="002C3979">
        <w:rPr>
          <w:lang w:val="ro-MD" w:eastAsia="ro-MD"/>
        </w:rPr>
        <w:t xml:space="preserve"> după cuvintele „înlocuirea instrumentelor” se completează cu cuvintele „</w:t>
      </w:r>
      <w:r w:rsidR="002C3979" w:rsidRPr="002C3979">
        <w:rPr>
          <w:lang w:val="ro-MD" w:eastAsia="ro-MD"/>
        </w:rPr>
        <w:t>sau a conturilor de prime de emisiune aferente</w:t>
      </w:r>
      <w:r w:rsidR="002C3979">
        <w:rPr>
          <w:lang w:val="ro-MD" w:eastAsia="ro-MD"/>
        </w:rPr>
        <w:t>”.</w:t>
      </w:r>
    </w:p>
    <w:p w14:paraId="09B2DB9D" w14:textId="5C990918" w:rsidR="00AF4C41" w:rsidRDefault="001139FC" w:rsidP="00D12B88">
      <w:pPr>
        <w:pStyle w:val="ListParagraph"/>
        <w:numPr>
          <w:ilvl w:val="1"/>
          <w:numId w:val="27"/>
        </w:numPr>
        <w:spacing w:before="80"/>
        <w:ind w:left="0" w:firstLine="568"/>
        <w:contextualSpacing w:val="0"/>
        <w:jc w:val="both"/>
        <w:rPr>
          <w:lang w:val="ro-MD" w:eastAsia="ro-MD"/>
        </w:rPr>
      </w:pPr>
      <w:r>
        <w:rPr>
          <w:lang w:val="ro-MD" w:eastAsia="ro-MD"/>
        </w:rPr>
        <w:t>La punctele 122, 123</w:t>
      </w:r>
      <w:r w:rsidR="00225FB7">
        <w:rPr>
          <w:lang w:val="ro-MD" w:eastAsia="ro-MD"/>
        </w:rPr>
        <w:t>,</w:t>
      </w:r>
      <w:r>
        <w:rPr>
          <w:lang w:val="ro-MD" w:eastAsia="ro-MD"/>
        </w:rPr>
        <w:t xml:space="preserve"> alineatul introductiv</w:t>
      </w:r>
      <w:r w:rsidR="00225FB7">
        <w:rPr>
          <w:lang w:val="ro-MD" w:eastAsia="ro-MD"/>
        </w:rPr>
        <w:t>,</w:t>
      </w:r>
      <w:r>
        <w:rPr>
          <w:lang w:val="ro-MD" w:eastAsia="ro-MD"/>
        </w:rPr>
        <w:t xml:space="preserve"> cuvintele „Banca Națională a Moldovei”</w:t>
      </w:r>
      <w:r w:rsidRPr="001139FC">
        <w:rPr>
          <w:lang w:val="ro-MD" w:eastAsia="ro-MD"/>
        </w:rPr>
        <w:t xml:space="preserve"> se </w:t>
      </w:r>
      <w:r>
        <w:rPr>
          <w:lang w:val="ro-MD" w:eastAsia="ro-MD"/>
        </w:rPr>
        <w:t>completează</w:t>
      </w:r>
      <w:r w:rsidRPr="001139FC">
        <w:rPr>
          <w:lang w:val="ro-MD" w:eastAsia="ro-MD"/>
        </w:rPr>
        <w:t xml:space="preserve"> cu</w:t>
      </w:r>
      <w:r>
        <w:rPr>
          <w:lang w:val="ro-MD" w:eastAsia="ro-MD"/>
        </w:rPr>
        <w:t xml:space="preserve"> textul „ </w:t>
      </w:r>
      <w:r w:rsidRPr="001139FC">
        <w:rPr>
          <w:lang w:val="ro-MD" w:eastAsia="ro-MD"/>
        </w:rPr>
        <w:t>, în calitate de autoritate competentă,</w:t>
      </w:r>
      <w:r>
        <w:rPr>
          <w:lang w:val="ro-MD" w:eastAsia="ro-MD"/>
        </w:rPr>
        <w:t>”.</w:t>
      </w:r>
    </w:p>
    <w:p w14:paraId="4569205D" w14:textId="16F3CCC5" w:rsidR="002C3979" w:rsidRDefault="00896D5A" w:rsidP="00D12B88">
      <w:pPr>
        <w:pStyle w:val="ListParagraph"/>
        <w:numPr>
          <w:ilvl w:val="1"/>
          <w:numId w:val="27"/>
        </w:numPr>
        <w:spacing w:before="80"/>
        <w:ind w:left="0" w:firstLine="567"/>
        <w:contextualSpacing w:val="0"/>
        <w:jc w:val="both"/>
        <w:rPr>
          <w:lang w:val="ro-MD" w:eastAsia="ro-MD"/>
        </w:rPr>
      </w:pPr>
      <w:r>
        <w:rPr>
          <w:lang w:val="ro-MD" w:eastAsia="ro-MD"/>
        </w:rPr>
        <w:t>La p</w:t>
      </w:r>
      <w:r w:rsidR="002C3979">
        <w:rPr>
          <w:lang w:val="ro-MD" w:eastAsia="ro-MD"/>
        </w:rPr>
        <w:t>unctul 123:</w:t>
      </w:r>
    </w:p>
    <w:p w14:paraId="579C88A7" w14:textId="2FFD9B0A" w:rsidR="00FE7ED8" w:rsidRDefault="00CA59B9" w:rsidP="00FF10CA">
      <w:pPr>
        <w:pStyle w:val="ListParagraph"/>
        <w:numPr>
          <w:ilvl w:val="2"/>
          <w:numId w:val="27"/>
        </w:numPr>
        <w:ind w:left="0" w:firstLine="567"/>
        <w:jc w:val="both"/>
        <w:rPr>
          <w:lang w:val="ro-MD" w:eastAsia="ro-MD"/>
        </w:rPr>
      </w:pPr>
      <w:r>
        <w:rPr>
          <w:lang w:val="ro-MD" w:eastAsia="ro-MD"/>
        </w:rPr>
        <w:t>a</w:t>
      </w:r>
      <w:r w:rsidR="002C3979" w:rsidRPr="002C3979">
        <w:rPr>
          <w:lang w:val="ro-MD" w:eastAsia="ro-MD"/>
        </w:rPr>
        <w:t>lineat</w:t>
      </w:r>
      <w:r w:rsidR="00FE7ED8">
        <w:rPr>
          <w:lang w:val="ro-MD" w:eastAsia="ro-MD"/>
        </w:rPr>
        <w:t>ul introductiv</w:t>
      </w:r>
      <w:r w:rsidR="002C3979" w:rsidRPr="002C3979">
        <w:rPr>
          <w:lang w:val="ro-MD" w:eastAsia="ro-MD"/>
        </w:rPr>
        <w:t xml:space="preserve"> va avea următorul cuprins:</w:t>
      </w:r>
    </w:p>
    <w:p w14:paraId="19E3D34B" w14:textId="05F30892" w:rsidR="002C3979" w:rsidRPr="00FE7ED8" w:rsidRDefault="002C3979" w:rsidP="005424AA">
      <w:pPr>
        <w:jc w:val="both"/>
        <w:rPr>
          <w:lang w:val="ro-MD" w:eastAsia="ro-MD"/>
        </w:rPr>
      </w:pPr>
      <w:r w:rsidRPr="00FE7ED8">
        <w:rPr>
          <w:lang w:val="ro-MD" w:eastAsia="ro-MD"/>
        </w:rPr>
        <w:t>„Banca Națională a Moldovei poate permite băncilor să exercite opțiunile de cumpărare (</w:t>
      </w:r>
      <w:proofErr w:type="spellStart"/>
      <w:r w:rsidRPr="00FE7ED8">
        <w:rPr>
          <w:lang w:val="ro-MD" w:eastAsia="ro-MD"/>
        </w:rPr>
        <w:t>call</w:t>
      </w:r>
      <w:proofErr w:type="spellEnd"/>
      <w:r w:rsidRPr="00FE7ED8">
        <w:rPr>
          <w:lang w:val="ro-MD" w:eastAsia="ro-MD"/>
        </w:rPr>
        <w:t>) sau să răscumpere sau să ramburseze instrumentele de fonduri proprii de nivel 1 suplimentar sau instrumentele de fonduri proprii de nivel 2</w:t>
      </w:r>
      <w:r w:rsidRPr="00FE7ED8">
        <w:rPr>
          <w:rFonts w:ascii="Calibri" w:eastAsia="Calibri" w:hAnsi="Calibri"/>
          <w:kern w:val="2"/>
          <w:sz w:val="22"/>
          <w:szCs w:val="22"/>
          <w:lang w:val="ro-MD"/>
          <w14:ligatures w14:val="standardContextual"/>
        </w:rPr>
        <w:t xml:space="preserve"> </w:t>
      </w:r>
      <w:r w:rsidRPr="00FE7ED8">
        <w:rPr>
          <w:lang w:val="ro-MD" w:eastAsia="ro-MD"/>
        </w:rPr>
        <w:t>sau conturi de prime de emisiune aferente, timp de cinci ani de la data emiterii numai în situația în care sunt îndeplinite condițiile prevăzute la punctul 120, precum și una din condițiile specificate mai jos:”;</w:t>
      </w:r>
    </w:p>
    <w:p w14:paraId="4A7DBD3A" w14:textId="2EAD7BC1" w:rsidR="002C3979" w:rsidRDefault="002C3979" w:rsidP="00FF10CA">
      <w:pPr>
        <w:pStyle w:val="ListParagraph"/>
        <w:numPr>
          <w:ilvl w:val="2"/>
          <w:numId w:val="27"/>
        </w:numPr>
        <w:ind w:left="0" w:firstLine="567"/>
        <w:jc w:val="both"/>
        <w:rPr>
          <w:lang w:val="ro-MD" w:eastAsia="ro-MD"/>
        </w:rPr>
      </w:pPr>
      <w:r>
        <w:rPr>
          <w:lang w:val="ro-MD" w:eastAsia="ro-MD"/>
        </w:rPr>
        <w:t>se completează cu subpunctele 3) și 4) cu următorul cuprins:</w:t>
      </w:r>
    </w:p>
    <w:p w14:paraId="00FCDC33" w14:textId="2A2B9DFA" w:rsidR="002C3979" w:rsidRDefault="002C3979" w:rsidP="005424AA">
      <w:pPr>
        <w:jc w:val="both"/>
        <w:rPr>
          <w:lang w:val="ro-MD" w:eastAsia="ro-MD"/>
        </w:rPr>
      </w:pPr>
      <w:r>
        <w:rPr>
          <w:lang w:val="ro-MD" w:eastAsia="ro-MD"/>
        </w:rPr>
        <w:t>„</w:t>
      </w:r>
      <w:r w:rsidRPr="002C3979">
        <w:rPr>
          <w:lang w:val="ro-MD" w:eastAsia="ro-MD"/>
        </w:rPr>
        <w:t xml:space="preserve">3) înainte sau în același timp cu acțiunea menționată la punctul 119, banca înlocuiește instrumentele sau conturile de prime de emisiune aferente cu instrumente de fonduri proprii de o calitate egală sau mai bună în condiții sustenabile ținând cont de capacitatea </w:t>
      </w:r>
      <w:r w:rsidRPr="002C3979">
        <w:rPr>
          <w:lang w:val="ro-RO" w:eastAsia="ro-MD"/>
        </w:rPr>
        <w:t>băncii</w:t>
      </w:r>
      <w:r w:rsidRPr="002C3979">
        <w:rPr>
          <w:lang w:val="ro-MD" w:eastAsia="ro-MD"/>
        </w:rPr>
        <w:t xml:space="preserve"> de a obține venituri, iar Banca Națională a Moldovei a aprobat această acțiune întrucât a considerat că ar fi benefică din punct de vedere prudențial și justificată de circumstanțe excepționale; </w:t>
      </w:r>
    </w:p>
    <w:p w14:paraId="2A503572" w14:textId="0DBA90EF" w:rsidR="002C3979" w:rsidRDefault="002C3979" w:rsidP="002C3979">
      <w:pPr>
        <w:jc w:val="both"/>
        <w:rPr>
          <w:lang w:val="ro-MD" w:eastAsia="ro-MD"/>
        </w:rPr>
      </w:pPr>
      <w:r w:rsidRPr="002C3979">
        <w:rPr>
          <w:lang w:val="ro-MD" w:eastAsia="ro-MD"/>
        </w:rPr>
        <w:t>4) instrumentele de fonduri proprii de nivel 1 suplimentar sau instrumentele de fonduri proprii de nivel 2 sunt răscumpărate în scopuri de formare a pieței.</w:t>
      </w:r>
      <w:r>
        <w:rPr>
          <w:lang w:val="ro-MD" w:eastAsia="ro-MD"/>
        </w:rPr>
        <w:t>”.</w:t>
      </w:r>
    </w:p>
    <w:p w14:paraId="091CA4CA" w14:textId="125A9417" w:rsidR="00C936FF" w:rsidRPr="00C936FF" w:rsidRDefault="00C936FF" w:rsidP="00C936FF">
      <w:pPr>
        <w:pStyle w:val="ListParagraph"/>
        <w:numPr>
          <w:ilvl w:val="1"/>
          <w:numId w:val="27"/>
        </w:numPr>
        <w:spacing w:before="80"/>
        <w:ind w:left="0" w:firstLine="567"/>
        <w:jc w:val="both"/>
        <w:rPr>
          <w:lang w:val="ro-MD" w:eastAsia="ro-MD"/>
        </w:rPr>
      </w:pPr>
      <w:r>
        <w:rPr>
          <w:lang w:val="ro-MD" w:eastAsia="ro-MD"/>
        </w:rPr>
        <w:t>La</w:t>
      </w:r>
      <w:r w:rsidRPr="00C936FF">
        <w:rPr>
          <w:lang w:val="ro-MD" w:eastAsia="ro-MD"/>
        </w:rPr>
        <w:t xml:space="preserve"> punctul 125</w:t>
      </w:r>
      <w:r w:rsidR="00225FB7">
        <w:rPr>
          <w:lang w:val="ro-MD" w:eastAsia="ro-MD"/>
        </w:rPr>
        <w:t>,</w:t>
      </w:r>
      <w:r w:rsidRPr="00C936FF">
        <w:rPr>
          <w:lang w:val="ro-MD" w:eastAsia="ro-MD"/>
        </w:rPr>
        <w:t xml:space="preserve"> </w:t>
      </w:r>
      <w:r>
        <w:rPr>
          <w:lang w:val="ro-MD" w:eastAsia="ro-MD"/>
        </w:rPr>
        <w:t>după cuvintele „aprobării prealabile” se completează cu textul „/aprobării prealabile generale”.</w:t>
      </w:r>
    </w:p>
    <w:p w14:paraId="4010E472" w14:textId="479B3D35" w:rsidR="002C3979" w:rsidRDefault="003D0BC2" w:rsidP="00C936FF">
      <w:pPr>
        <w:pStyle w:val="ListParagraph"/>
        <w:numPr>
          <w:ilvl w:val="1"/>
          <w:numId w:val="27"/>
        </w:numPr>
        <w:spacing w:before="80"/>
        <w:ind w:left="0" w:firstLine="567"/>
        <w:contextualSpacing w:val="0"/>
        <w:jc w:val="both"/>
        <w:rPr>
          <w:lang w:val="ro-MD" w:eastAsia="ro-MD"/>
        </w:rPr>
      </w:pPr>
      <w:r>
        <w:rPr>
          <w:lang w:val="ro-MD" w:eastAsia="ro-MD"/>
        </w:rPr>
        <w:t xml:space="preserve">Capitolul VI </w:t>
      </w:r>
      <w:r w:rsidR="002C3979">
        <w:rPr>
          <w:lang w:val="ro-MD" w:eastAsia="ro-MD"/>
        </w:rPr>
        <w:t xml:space="preserve">se completează cu </w:t>
      </w:r>
      <w:r>
        <w:rPr>
          <w:lang w:val="ro-MD" w:eastAsia="ro-MD"/>
        </w:rPr>
        <w:t xml:space="preserve">secțiunea </w:t>
      </w:r>
      <w:r w:rsidR="002C3979">
        <w:rPr>
          <w:lang w:val="ro-MD" w:eastAsia="ro-MD"/>
        </w:rPr>
        <w:t>3</w:t>
      </w:r>
      <w:r w:rsidR="002C3979">
        <w:rPr>
          <w:vertAlign w:val="superscript"/>
          <w:lang w:val="ro-MD" w:eastAsia="ro-MD"/>
        </w:rPr>
        <w:t>1</w:t>
      </w:r>
      <w:r w:rsidR="002C3979">
        <w:rPr>
          <w:lang w:val="ro-MD" w:eastAsia="ro-MD"/>
        </w:rPr>
        <w:t xml:space="preserve"> cu următorul conținut:</w:t>
      </w:r>
    </w:p>
    <w:p w14:paraId="1E7A7D5F" w14:textId="014A5679" w:rsidR="002C3979" w:rsidRPr="002C3979" w:rsidRDefault="003D5D26" w:rsidP="002C3979">
      <w:pPr>
        <w:ind w:firstLine="567"/>
        <w:jc w:val="center"/>
        <w:rPr>
          <w:b/>
          <w:bCs/>
          <w:i/>
          <w:iCs/>
          <w:lang w:val="ro-MD" w:eastAsia="ro-MD"/>
        </w:rPr>
      </w:pPr>
      <w:r>
        <w:rPr>
          <w:lang w:val="ro-MD" w:eastAsia="ro-MD"/>
        </w:rPr>
        <w:t>„</w:t>
      </w:r>
      <w:r w:rsidR="002C3979" w:rsidRPr="002C3979">
        <w:rPr>
          <w:b/>
          <w:bCs/>
          <w:i/>
          <w:iCs/>
          <w:lang w:val="ro-MD" w:eastAsia="ro-MD"/>
        </w:rPr>
        <w:t>Secțiunea</w:t>
      </w:r>
      <w:r w:rsidR="002C3979" w:rsidRPr="002C3979">
        <w:rPr>
          <w:lang w:val="ro-MD" w:eastAsia="ro-MD"/>
        </w:rPr>
        <w:t xml:space="preserve"> </w:t>
      </w:r>
      <w:r w:rsidR="002C3979" w:rsidRPr="002C3979">
        <w:rPr>
          <w:b/>
          <w:bCs/>
          <w:i/>
          <w:iCs/>
          <w:lang w:val="ro-MD" w:eastAsia="ro-MD"/>
        </w:rPr>
        <w:t>3</w:t>
      </w:r>
      <w:r w:rsidR="002C3979" w:rsidRPr="002C3979">
        <w:rPr>
          <w:b/>
          <w:bCs/>
          <w:i/>
          <w:iCs/>
          <w:vertAlign w:val="superscript"/>
          <w:lang w:val="ro-MD" w:eastAsia="ro-MD"/>
        </w:rPr>
        <w:t>1</w:t>
      </w:r>
    </w:p>
    <w:p w14:paraId="5C286BCB" w14:textId="77777777" w:rsidR="002C3979" w:rsidRPr="002C3979" w:rsidRDefault="002C3979" w:rsidP="002C3979">
      <w:pPr>
        <w:ind w:firstLine="567"/>
        <w:jc w:val="center"/>
        <w:rPr>
          <w:lang w:val="ro-MD" w:eastAsia="ro-MD"/>
        </w:rPr>
      </w:pPr>
      <w:r w:rsidRPr="002C3979">
        <w:rPr>
          <w:b/>
          <w:bCs/>
          <w:i/>
          <w:iCs/>
          <w:lang w:val="ro-MD" w:eastAsia="ro-MD"/>
        </w:rPr>
        <w:t>Aprobarea de a reduce instrumentele de pasive eligibile</w:t>
      </w:r>
    </w:p>
    <w:p w14:paraId="70020712" w14:textId="77777777" w:rsidR="002C3979" w:rsidRPr="002C3979" w:rsidRDefault="002C3979" w:rsidP="00524936">
      <w:pPr>
        <w:jc w:val="both"/>
        <w:rPr>
          <w:lang w:val="ro-MD" w:eastAsia="ro-MD"/>
        </w:rPr>
      </w:pPr>
      <w:r w:rsidRPr="002C3979">
        <w:rPr>
          <w:b/>
          <w:bCs/>
          <w:lang w:val="ro-MD" w:eastAsia="ro-MD"/>
        </w:rPr>
        <w:t>125</w:t>
      </w:r>
      <w:r w:rsidRPr="002C3979">
        <w:rPr>
          <w:b/>
          <w:bCs/>
          <w:vertAlign w:val="superscript"/>
          <w:lang w:val="ro-MD" w:eastAsia="ro-MD"/>
        </w:rPr>
        <w:t>1</w:t>
      </w:r>
      <w:r w:rsidRPr="002C3979">
        <w:rPr>
          <w:b/>
          <w:bCs/>
          <w:lang w:val="ro-MD" w:eastAsia="ro-MD"/>
        </w:rPr>
        <w:t>.</w:t>
      </w:r>
      <w:r w:rsidRPr="002C3979">
        <w:rPr>
          <w:lang w:val="ro-MD" w:eastAsia="ro-MD"/>
        </w:rPr>
        <w:t xml:space="preserve"> Banca Națională a Moldovei în calitate de autoritate de rezoluție acordă unei bănci aprobarea de a exercita opțiunea de cumpărare (</w:t>
      </w:r>
      <w:proofErr w:type="spellStart"/>
      <w:r w:rsidRPr="002C3979">
        <w:rPr>
          <w:lang w:val="ro-MD" w:eastAsia="ro-MD"/>
        </w:rPr>
        <w:t>call</w:t>
      </w:r>
      <w:proofErr w:type="spellEnd"/>
      <w:r w:rsidRPr="002C3979">
        <w:rPr>
          <w:lang w:val="ro-MD" w:eastAsia="ro-MD"/>
        </w:rPr>
        <w:t>) sau a răscumpăra sau a rambursa instrumente de pasive eligibile dacă este îndeplinită una dintre următoarele condiții:</w:t>
      </w:r>
    </w:p>
    <w:p w14:paraId="18D64370" w14:textId="77777777" w:rsidR="002C3979" w:rsidRPr="002C3979" w:rsidRDefault="002C3979" w:rsidP="00524936">
      <w:pPr>
        <w:jc w:val="both"/>
        <w:rPr>
          <w:lang w:val="ro-MD" w:eastAsia="ro-MD"/>
        </w:rPr>
      </w:pPr>
      <w:r w:rsidRPr="002C3979">
        <w:rPr>
          <w:lang w:val="ro-MD" w:eastAsia="ro-MD"/>
        </w:rPr>
        <w:t>1) înainte sau în același timp cu oricare dintre acțiunile menționate la punctul 119</w:t>
      </w:r>
      <w:r w:rsidRPr="002C3979">
        <w:rPr>
          <w:vertAlign w:val="superscript"/>
          <w:lang w:val="ro-MD" w:eastAsia="ro-MD"/>
        </w:rPr>
        <w:t>1</w:t>
      </w:r>
      <w:r w:rsidRPr="002C3979">
        <w:rPr>
          <w:lang w:val="ro-MD" w:eastAsia="ro-MD"/>
        </w:rPr>
        <w:t>, banca înlocuiește instrumentele de pasive eligibile cu instrumente de fonduri proprii sau instrumente de pasive eligibile de o calitate egală sau mai bună, în condiții sustenabile ținând cont de capacitatea băncii de a obține venituri;</w:t>
      </w:r>
    </w:p>
    <w:p w14:paraId="6EE5E9F0" w14:textId="77777777" w:rsidR="002C3979" w:rsidRPr="002C3979" w:rsidRDefault="002C3979" w:rsidP="00524936">
      <w:pPr>
        <w:jc w:val="both"/>
        <w:rPr>
          <w:lang w:val="ro-MD" w:eastAsia="ro-MD"/>
        </w:rPr>
      </w:pPr>
      <w:r w:rsidRPr="002C3979">
        <w:rPr>
          <w:lang w:val="ro-MD" w:eastAsia="ro-MD"/>
        </w:rPr>
        <w:t>2) banca a demonstrat, într-un mod pe care Banca Națională a Moldovei, în calitate de autoritate de rezoluție, îl consideră satisfăcător, că în urma acțiunii menționate la punctul 119</w:t>
      </w:r>
      <w:r w:rsidRPr="002C3979">
        <w:rPr>
          <w:vertAlign w:val="superscript"/>
          <w:lang w:val="ro-MD" w:eastAsia="ro-MD"/>
        </w:rPr>
        <w:t>1</w:t>
      </w:r>
      <w:r w:rsidRPr="002C3979">
        <w:rPr>
          <w:lang w:val="ro-MD" w:eastAsia="ro-MD"/>
        </w:rPr>
        <w:t>, fondurile proprii și pasivele eligibile ale băncii ar depăși cerințele de fonduri proprii și de pasive eligibile prevăzute în prezentul regulament și Legea nr.232/2016 cu marja pe care Banca Națională a Moldovei, în calitate de autoritatea de rezoluție, în acord cu structura care exercită funcția de supraveghere, o consideră necesară;</w:t>
      </w:r>
    </w:p>
    <w:p w14:paraId="054C9C9E" w14:textId="150CFA8E" w:rsidR="002C3979" w:rsidRPr="002C3979" w:rsidRDefault="002C3979" w:rsidP="00524936">
      <w:pPr>
        <w:jc w:val="both"/>
        <w:rPr>
          <w:lang w:val="ro-MD" w:eastAsia="ro-MD"/>
        </w:rPr>
      </w:pPr>
      <w:r w:rsidRPr="002C3979">
        <w:rPr>
          <w:lang w:val="ro-MD" w:eastAsia="ro-MD"/>
        </w:rPr>
        <w:t>3) banca a demonstrat, într-un mod pe care Banca Națională a Moldovei, în calitate de autoritate de rezoluție îl consideră satisfăcător, că înlocuirea parțială sau integrală a pasivelor eligibile cu instrumente de fonduri proprii este necesară pentru a asigura conformitatea cu cerințele de fonduri proprii prevăzute în prezentul regulament și în Legea nr.202/2017.</w:t>
      </w:r>
      <w:r w:rsidRPr="002C3979">
        <w:rPr>
          <w:sz w:val="18"/>
          <w:szCs w:val="18"/>
          <w:highlight w:val="lightGray"/>
          <w:lang w:val="ro-MD" w:eastAsia="ro-MD"/>
        </w:rPr>
        <w:t xml:space="preserve"> </w:t>
      </w:r>
    </w:p>
    <w:p w14:paraId="672119C3" w14:textId="2987F97D" w:rsidR="002C3979" w:rsidRPr="002C3979" w:rsidRDefault="002C3979" w:rsidP="00524936">
      <w:pPr>
        <w:jc w:val="both"/>
        <w:rPr>
          <w:lang w:val="ro-MD" w:eastAsia="ro-MD"/>
        </w:rPr>
      </w:pPr>
      <w:r w:rsidRPr="002C3979">
        <w:rPr>
          <w:b/>
          <w:bCs/>
          <w:lang w:val="ro-MD" w:eastAsia="ro-MD"/>
        </w:rPr>
        <w:t>125</w:t>
      </w:r>
      <w:r w:rsidRPr="002C3979">
        <w:rPr>
          <w:b/>
          <w:bCs/>
          <w:vertAlign w:val="superscript"/>
          <w:lang w:val="ro-MD" w:eastAsia="ro-MD"/>
        </w:rPr>
        <w:t>2</w:t>
      </w:r>
      <w:r w:rsidRPr="002C3979">
        <w:rPr>
          <w:b/>
          <w:bCs/>
          <w:lang w:val="ro-MD" w:eastAsia="ro-MD"/>
        </w:rPr>
        <w:t xml:space="preserve">. </w:t>
      </w:r>
      <w:r w:rsidRPr="002C3979">
        <w:rPr>
          <w:lang w:val="ro-MD" w:eastAsia="ro-MD"/>
        </w:rPr>
        <w:t>În cazul în care o banca oferă garanții suficiente cu privire la capacitatea sa de a funcționa cu fonduri proprii și pasive eligibile al căror cuantum depășește cerințele stabilite în prezentul regulament și în Legea nr.202/2017 și Legea nr.232/2016, Banca Națională a Moldovei, în calitate de autoritate de rezoluție, după consultarea cu structura care exercită funcția de supraveghere, poate acorda băncii respective o aprobare prealabilă generală de a exercita opțiunile de cumpărare (</w:t>
      </w:r>
      <w:proofErr w:type="spellStart"/>
      <w:r w:rsidRPr="002C3979">
        <w:rPr>
          <w:lang w:val="ro-MD" w:eastAsia="ro-MD"/>
        </w:rPr>
        <w:t>call</w:t>
      </w:r>
      <w:proofErr w:type="spellEnd"/>
      <w:r w:rsidRPr="002C3979">
        <w:rPr>
          <w:lang w:val="ro-MD" w:eastAsia="ro-MD"/>
        </w:rPr>
        <w:t xml:space="preserve">) sau de a răscumpăra sau a rambursa instrumentele de pasive eligibile, sub rezerva unor criterii care să asigure </w:t>
      </w:r>
      <w:r w:rsidRPr="002C3979">
        <w:rPr>
          <w:lang w:val="ro-MD" w:eastAsia="ro-MD"/>
        </w:rPr>
        <w:lastRenderedPageBreak/>
        <w:t>că orice astfel de acțiune viitoare este realizată cu respectarea condițiilor prevăzute la punctul 125</w:t>
      </w:r>
      <w:r w:rsidRPr="002C3979">
        <w:rPr>
          <w:vertAlign w:val="superscript"/>
          <w:lang w:val="ro-MD" w:eastAsia="ro-MD"/>
        </w:rPr>
        <w:t>1</w:t>
      </w:r>
      <w:r w:rsidRPr="002C3979">
        <w:rPr>
          <w:lang w:val="ro-MD" w:eastAsia="ro-MD"/>
        </w:rPr>
        <w:t xml:space="preserve"> subpunctele 1) și 2). Această aprobare prealabilă generală se acordă numai pentru o perioadă de timp specificată, care nu depășește un an, cu posibilitate de reînnoire. Aprobarea prealabilă generală se acordă pentru un anumit cuantum prestabilit, care este fixat de Banca Națională a Moldovei, în calitate de autoritate de rezoluție. </w:t>
      </w:r>
      <w:r w:rsidR="001A1D87" w:rsidRPr="001A1D87">
        <w:rPr>
          <w:lang w:val="ro-RO" w:eastAsia="ro-MD"/>
        </w:rPr>
        <w:t>Banca Națională a Moldovei se asigură că</w:t>
      </w:r>
      <w:r w:rsidR="001A1D87">
        <w:rPr>
          <w:lang w:eastAsia="ro-MD"/>
        </w:rPr>
        <w:t xml:space="preserve"> </w:t>
      </w:r>
      <w:r w:rsidR="001A1D87" w:rsidRPr="002C3979">
        <w:rPr>
          <w:lang w:val="ro-MD" w:eastAsia="ro-MD"/>
        </w:rPr>
        <w:t xml:space="preserve">structura </w:t>
      </w:r>
      <w:r w:rsidRPr="002C3979">
        <w:rPr>
          <w:lang w:val="ro-MD" w:eastAsia="ro-MD"/>
        </w:rPr>
        <w:t>care exercită funcția de rezoluție informează structura care exercită funcția de supraveghere cu privire la orice aprobare prealabilă generală acordată.</w:t>
      </w:r>
    </w:p>
    <w:p w14:paraId="7BE628CD" w14:textId="62855373" w:rsidR="002C3979" w:rsidRPr="002C3979" w:rsidRDefault="002C3979" w:rsidP="00524936">
      <w:pPr>
        <w:jc w:val="both"/>
        <w:rPr>
          <w:lang w:val="ro-MD" w:eastAsia="ro-MD"/>
        </w:rPr>
      </w:pPr>
      <w:r w:rsidRPr="002C3979">
        <w:rPr>
          <w:lang w:val="ro-MD" w:eastAsia="ro-MD"/>
        </w:rPr>
        <w:t>Banca Națională a Moldovei, în calitate de autoritate de rezoluție retrage aprobarea prealabilă generală în cazul în care banca încalcă oricare dintre criteriile prevăzute în scopul aprobării respective.</w:t>
      </w:r>
      <w:r w:rsidRPr="002C3979">
        <w:rPr>
          <w:sz w:val="18"/>
          <w:szCs w:val="18"/>
          <w:highlight w:val="lightGray"/>
          <w:lang w:val="ro-MD" w:eastAsia="ro-MD"/>
        </w:rPr>
        <w:t xml:space="preserve"> </w:t>
      </w:r>
    </w:p>
    <w:p w14:paraId="47B82DF1" w14:textId="607B0514" w:rsidR="002C3979" w:rsidRPr="002C3979" w:rsidRDefault="002C3979" w:rsidP="00524936">
      <w:pPr>
        <w:jc w:val="both"/>
        <w:rPr>
          <w:lang w:val="ro-MD" w:eastAsia="ro-MD"/>
        </w:rPr>
      </w:pPr>
      <w:r w:rsidRPr="002C3979">
        <w:rPr>
          <w:b/>
          <w:bCs/>
          <w:lang w:val="ro-MD" w:eastAsia="ro-MD"/>
        </w:rPr>
        <w:t>125</w:t>
      </w:r>
      <w:r w:rsidRPr="002C3979">
        <w:rPr>
          <w:b/>
          <w:bCs/>
          <w:vertAlign w:val="superscript"/>
          <w:lang w:val="ro-MD" w:eastAsia="ro-MD"/>
        </w:rPr>
        <w:t>3</w:t>
      </w:r>
      <w:r w:rsidRPr="002C3979">
        <w:rPr>
          <w:b/>
          <w:bCs/>
          <w:lang w:val="ro-MD" w:eastAsia="ro-MD"/>
        </w:rPr>
        <w:t xml:space="preserve">. </w:t>
      </w:r>
      <w:r w:rsidRPr="002C3979">
        <w:rPr>
          <w:lang w:val="ro-MD" w:eastAsia="ro-MD"/>
        </w:rPr>
        <w:t>Atunci când evaluează viabilitatea instrumentelor de înlocuire în raport cu capacitatea băncii de a obține venituri menționată la punctul 125</w:t>
      </w:r>
      <w:r w:rsidRPr="002C3979">
        <w:rPr>
          <w:vertAlign w:val="superscript"/>
          <w:lang w:val="ro-MD" w:eastAsia="ro-MD"/>
        </w:rPr>
        <w:t>1</w:t>
      </w:r>
      <w:r w:rsidRPr="002C3979">
        <w:rPr>
          <w:lang w:val="ro-MD" w:eastAsia="ro-MD"/>
        </w:rPr>
        <w:t xml:space="preserve"> subpunctul 1), Banca Națională a Moldovei, în calitate de autoritate de rezoluție examinează măsura în care respectivele instrumente de capital de înlocuire sau pasive eligibile de înlocuire ar fi mai costisitoare pentru bancă decât instrumentele de capital sau pasivele eligibile pe care le-ar înlocui.</w:t>
      </w:r>
      <w:r w:rsidRPr="002C3979">
        <w:rPr>
          <w:sz w:val="18"/>
          <w:szCs w:val="18"/>
          <w:highlight w:val="lightGray"/>
          <w:lang w:val="ro-MD" w:eastAsia="ro-MD"/>
        </w:rPr>
        <w:t xml:space="preserve"> </w:t>
      </w:r>
    </w:p>
    <w:p w14:paraId="7FC75EEC" w14:textId="3EF1B2AE" w:rsidR="002C3979" w:rsidRDefault="002C3979" w:rsidP="00524936">
      <w:pPr>
        <w:jc w:val="both"/>
        <w:rPr>
          <w:sz w:val="18"/>
          <w:szCs w:val="18"/>
          <w:lang w:val="ro-MD" w:eastAsia="ro-MD"/>
        </w:rPr>
      </w:pPr>
      <w:r w:rsidRPr="002C3979">
        <w:rPr>
          <w:b/>
          <w:bCs/>
          <w:lang w:val="ro-MD" w:eastAsia="ro-MD"/>
        </w:rPr>
        <w:t>125</w:t>
      </w:r>
      <w:r w:rsidRPr="002C3979">
        <w:rPr>
          <w:b/>
          <w:bCs/>
          <w:vertAlign w:val="superscript"/>
          <w:lang w:val="ro-MD" w:eastAsia="ro-MD"/>
        </w:rPr>
        <w:t>4</w:t>
      </w:r>
      <w:r w:rsidRPr="002C3979">
        <w:rPr>
          <w:b/>
          <w:bCs/>
          <w:lang w:val="ro-MD" w:eastAsia="ro-MD"/>
        </w:rPr>
        <w:t>.</w:t>
      </w:r>
      <w:r w:rsidRPr="002C3979">
        <w:rPr>
          <w:lang w:val="ro-MD" w:eastAsia="ro-MD"/>
        </w:rPr>
        <w:t xml:space="preserve"> Condiții sustenabile ținând cont de capacitatea băncii de a obține venituri în conformitate cu punctul 125</w:t>
      </w:r>
      <w:r w:rsidRPr="002C3979">
        <w:rPr>
          <w:vertAlign w:val="superscript"/>
          <w:lang w:val="ro-MD" w:eastAsia="ro-MD"/>
        </w:rPr>
        <w:t>1</w:t>
      </w:r>
      <w:r w:rsidRPr="002C3979">
        <w:rPr>
          <w:lang w:val="ro-MD" w:eastAsia="ro-MD"/>
        </w:rPr>
        <w:t xml:space="preserve"> înseamnă că profitabilitatea băncii, astfel cum a fost evaluată de Banca Națională a Moldovei, în calitate de autoritate de rezoluție, este în continuare solidă sau că nu suferă modificări negative după înlocuirea instrumentelor de pasive eligibile cu instrumente de fonduri proprii sau de pasive eligibile de o calitate egală sau mai bună, la acea dată și în viitorul apropiat. Evaluarea menționată ține seama de profitabilitatea băncii în situații de criză.</w:t>
      </w:r>
      <w:r w:rsidR="003D5D26">
        <w:rPr>
          <w:sz w:val="18"/>
          <w:szCs w:val="18"/>
          <w:lang w:val="ro-MD" w:eastAsia="ro-MD"/>
        </w:rPr>
        <w:t>”.</w:t>
      </w:r>
    </w:p>
    <w:p w14:paraId="30E2B377" w14:textId="2F3194D8" w:rsidR="00713EB7" w:rsidRDefault="00713EB7" w:rsidP="00713EB7">
      <w:pPr>
        <w:pStyle w:val="ListParagraph"/>
        <w:numPr>
          <w:ilvl w:val="1"/>
          <w:numId w:val="27"/>
        </w:numPr>
        <w:spacing w:before="80"/>
        <w:ind w:left="0" w:firstLine="567"/>
        <w:contextualSpacing w:val="0"/>
        <w:jc w:val="both"/>
        <w:rPr>
          <w:lang w:val="ro-MD" w:eastAsia="ro-MD"/>
        </w:rPr>
      </w:pPr>
      <w:r>
        <w:rPr>
          <w:lang w:val="ro-MD" w:eastAsia="ro-MD"/>
        </w:rPr>
        <w:t xml:space="preserve">Punctul </w:t>
      </w:r>
      <w:r w:rsidR="00687264">
        <w:rPr>
          <w:lang w:val="ro-MD" w:eastAsia="ro-MD"/>
        </w:rPr>
        <w:t xml:space="preserve">126 </w:t>
      </w:r>
      <w:r>
        <w:rPr>
          <w:lang w:val="ro-MD" w:eastAsia="ro-MD"/>
        </w:rPr>
        <w:t>va avea următorul cuprins:</w:t>
      </w:r>
    </w:p>
    <w:p w14:paraId="7935AEC4" w14:textId="3E1BA147" w:rsidR="003D5D26" w:rsidRPr="00713EB7" w:rsidRDefault="00713EB7" w:rsidP="00713EB7">
      <w:pPr>
        <w:pStyle w:val="ListParagraph"/>
        <w:spacing w:before="80"/>
        <w:ind w:left="0"/>
        <w:contextualSpacing w:val="0"/>
        <w:jc w:val="both"/>
        <w:rPr>
          <w:lang w:val="ro-MD" w:eastAsia="ro-MD"/>
        </w:rPr>
      </w:pPr>
      <w:r w:rsidRPr="00713EB7">
        <w:rPr>
          <w:lang w:val="ro-MD" w:eastAsia="ro-MD"/>
        </w:rPr>
        <w:t>„</w:t>
      </w:r>
      <w:r w:rsidRPr="00713EB7">
        <w:rPr>
          <w:b/>
          <w:bCs/>
          <w:lang w:val="ro-MD" w:eastAsia="ro-MD"/>
        </w:rPr>
        <w:t>126.</w:t>
      </w:r>
      <w:r w:rsidRPr="00713EB7">
        <w:rPr>
          <w:lang w:val="ro-MD" w:eastAsia="ro-MD"/>
        </w:rPr>
        <w:t xml:space="preserve"> În cazul în care o bancă deține temporar instrumente de capital, datorii sau a acordat împrumuturi subordonate, după caz, care se califică drept instrumente de fonduri proprii de nivel 1 de bază/capital propriu, instrumente de fonduri proprii de nivel 1 suplimentar sau instrumente de fonduri proprii de nivel 2 ale unei entități din sectorul financiar sau instrumente de pasive eligibile ale băncii și Banca Națională a Moldovei consideră că aceste dețineri au scopul unei operațiuni de asistență financiară destinate restructurării și restabilirii viabilității entității sau băncii respective, Banca Națională a Moldovei, în calitate de autoritate competentă, poate să acorde o derogare temporară de la aplicarea dispozițiilor privind deducerea care, în mod obișnuit, s-ar aplica instrumentelor respective.</w:t>
      </w:r>
      <w:r w:rsidR="00687264" w:rsidRPr="00713EB7">
        <w:rPr>
          <w:lang w:val="ro-MD" w:eastAsia="ro-MD"/>
        </w:rPr>
        <w:t>”.</w:t>
      </w:r>
    </w:p>
    <w:p w14:paraId="51CAB545" w14:textId="4D25B959" w:rsidR="00687264" w:rsidRDefault="00687264" w:rsidP="00C936FF">
      <w:pPr>
        <w:pStyle w:val="ListParagraph"/>
        <w:numPr>
          <w:ilvl w:val="1"/>
          <w:numId w:val="27"/>
        </w:numPr>
        <w:spacing w:before="80"/>
        <w:ind w:left="0" w:firstLine="567"/>
        <w:contextualSpacing w:val="0"/>
        <w:jc w:val="both"/>
        <w:rPr>
          <w:lang w:val="ro-MD" w:eastAsia="ro-MD"/>
        </w:rPr>
      </w:pPr>
      <w:r>
        <w:rPr>
          <w:lang w:val="ro-MD" w:eastAsia="ro-MD"/>
        </w:rPr>
        <w:t>La punctul 128</w:t>
      </w:r>
      <w:r w:rsidR="00225FB7">
        <w:rPr>
          <w:lang w:val="ro-MD" w:eastAsia="ro-MD"/>
        </w:rPr>
        <w:t>,</w:t>
      </w:r>
      <w:r>
        <w:rPr>
          <w:lang w:val="ro-MD" w:eastAsia="ro-MD"/>
        </w:rPr>
        <w:t xml:space="preserve"> în propoziția a doua</w:t>
      </w:r>
      <w:r w:rsidR="00225FB7">
        <w:rPr>
          <w:lang w:val="ro-MD" w:eastAsia="ro-MD"/>
        </w:rPr>
        <w:t>,</w:t>
      </w:r>
      <w:r>
        <w:rPr>
          <w:lang w:val="ro-MD" w:eastAsia="ro-MD"/>
        </w:rPr>
        <w:t xml:space="preserve"> după cuvintele „din sectorul financiar” se completează cu cuvintele „</w:t>
      </w:r>
      <w:r w:rsidRPr="00687264">
        <w:rPr>
          <w:lang w:val="ro-MD" w:eastAsia="ro-MD"/>
        </w:rPr>
        <w:t>sau de instrumente de pasive eligibile</w:t>
      </w:r>
      <w:r>
        <w:rPr>
          <w:lang w:val="ro-MD" w:eastAsia="ro-MD"/>
        </w:rPr>
        <w:t>”.</w:t>
      </w:r>
    </w:p>
    <w:p w14:paraId="69CD9E32" w14:textId="4D359386" w:rsidR="00687264" w:rsidRDefault="00687264" w:rsidP="00C936FF">
      <w:pPr>
        <w:pStyle w:val="ListParagraph"/>
        <w:numPr>
          <w:ilvl w:val="1"/>
          <w:numId w:val="27"/>
        </w:numPr>
        <w:spacing w:before="80"/>
        <w:ind w:left="0" w:firstLine="567"/>
        <w:contextualSpacing w:val="0"/>
        <w:jc w:val="both"/>
        <w:rPr>
          <w:lang w:val="ro-MD" w:eastAsia="ro-MD"/>
        </w:rPr>
      </w:pPr>
      <w:r>
        <w:rPr>
          <w:lang w:val="ro-MD" w:eastAsia="ro-MD"/>
        </w:rPr>
        <w:t xml:space="preserve">Punctul 129 </w:t>
      </w:r>
      <w:r w:rsidR="00C56E39">
        <w:rPr>
          <w:lang w:val="ro-MD" w:eastAsia="ro-MD"/>
        </w:rPr>
        <w:t>va avea următorul cuprins:</w:t>
      </w:r>
    </w:p>
    <w:p w14:paraId="5606F742" w14:textId="5A5A145E" w:rsidR="00C56E39" w:rsidRDefault="00C56E39" w:rsidP="00C56E39">
      <w:pPr>
        <w:jc w:val="both"/>
        <w:rPr>
          <w:lang w:val="ro-MD" w:eastAsia="ro-MD"/>
        </w:rPr>
      </w:pPr>
      <w:r>
        <w:rPr>
          <w:lang w:val="ro-MD" w:eastAsia="ro-MD"/>
        </w:rPr>
        <w:t>„</w:t>
      </w:r>
      <w:r w:rsidRPr="00C56E39">
        <w:rPr>
          <w:b/>
          <w:bCs/>
          <w:lang w:val="ro-MD" w:eastAsia="ro-MD"/>
        </w:rPr>
        <w:t>129.</w:t>
      </w:r>
      <w:r w:rsidRPr="00C56E39">
        <w:rPr>
          <w:lang w:val="ro-MD" w:eastAsia="ro-MD"/>
        </w:rPr>
        <w:t xml:space="preserve"> Cu scopul de a acorda o derogare temporară pentru deducerea din fondurile proprii și pasivele eligibile, după caz, Banca Națională a Moldovei poate considera că deținerile pentru o operațiune de asistență financiară menită să restructureze o entitate din sectorul financiar sau o bancă, în cazul în care operațiunea este efectuată în cadrul unui plan și aprobată de către Banca Națională a Moldovei, </w:t>
      </w:r>
      <w:r w:rsidR="00D62F04" w:rsidRPr="00D62F04">
        <w:rPr>
          <w:lang w:val="ro-MD" w:eastAsia="ro-MD"/>
        </w:rPr>
        <w:t xml:space="preserve">în calitate de autoritate competentă, </w:t>
      </w:r>
      <w:r w:rsidRPr="00C56E39">
        <w:rPr>
          <w:lang w:val="ro-MD" w:eastAsia="ro-MD"/>
        </w:rPr>
        <w:t>precum și în cazul în care planul prevede în mod clar etapele, calendarul, obiectivele și precizează interacțiunea între dețineri și operațiunea de asistență financiară.</w:t>
      </w:r>
      <w:r>
        <w:rPr>
          <w:lang w:val="ro-MD" w:eastAsia="ro-MD"/>
        </w:rPr>
        <w:t>”.</w:t>
      </w:r>
    </w:p>
    <w:p w14:paraId="4986904A" w14:textId="3205143C" w:rsidR="006F6AF2" w:rsidRDefault="00906913" w:rsidP="00C936FF">
      <w:pPr>
        <w:pStyle w:val="ListParagraph"/>
        <w:numPr>
          <w:ilvl w:val="1"/>
          <w:numId w:val="27"/>
        </w:numPr>
        <w:spacing w:before="80"/>
        <w:ind w:left="0" w:firstLine="567"/>
        <w:contextualSpacing w:val="0"/>
        <w:jc w:val="both"/>
        <w:rPr>
          <w:lang w:val="ro-MD" w:eastAsia="ro-MD"/>
        </w:rPr>
      </w:pPr>
      <w:r>
        <w:rPr>
          <w:lang w:val="ro-MD" w:eastAsia="ro-MD"/>
        </w:rPr>
        <w:t>La</w:t>
      </w:r>
      <w:r w:rsidR="00C56E39">
        <w:rPr>
          <w:lang w:val="ro-MD" w:eastAsia="ro-MD"/>
        </w:rPr>
        <w:t xml:space="preserve"> </w:t>
      </w:r>
      <w:r>
        <w:rPr>
          <w:lang w:val="ro-MD" w:eastAsia="ro-MD"/>
        </w:rPr>
        <w:t>p</w:t>
      </w:r>
      <w:r w:rsidR="006F6AF2">
        <w:rPr>
          <w:lang w:val="ro-MD" w:eastAsia="ro-MD"/>
        </w:rPr>
        <w:t>unctul 129</w:t>
      </w:r>
      <w:r w:rsidR="006F6AF2">
        <w:rPr>
          <w:vertAlign w:val="superscript"/>
          <w:lang w:val="ro-MD" w:eastAsia="ro-MD"/>
        </w:rPr>
        <w:t>4</w:t>
      </w:r>
      <w:r w:rsidR="006F6AF2">
        <w:rPr>
          <w:lang w:val="ro-MD" w:eastAsia="ro-MD"/>
        </w:rPr>
        <w:t>:</w:t>
      </w:r>
    </w:p>
    <w:p w14:paraId="51E9ED7D" w14:textId="669E0A5A" w:rsidR="00C56E39" w:rsidRDefault="00906913" w:rsidP="00C936FF">
      <w:pPr>
        <w:pStyle w:val="ListParagraph"/>
        <w:numPr>
          <w:ilvl w:val="2"/>
          <w:numId w:val="27"/>
        </w:numPr>
        <w:ind w:left="0" w:firstLine="567"/>
        <w:jc w:val="both"/>
        <w:rPr>
          <w:lang w:val="ro-MD" w:eastAsia="ro-MD"/>
        </w:rPr>
      </w:pPr>
      <w:r>
        <w:rPr>
          <w:lang w:val="ro-MD" w:eastAsia="ro-MD"/>
        </w:rPr>
        <w:t xml:space="preserve">la </w:t>
      </w:r>
      <w:r w:rsidR="006F6AF2" w:rsidRPr="006F6AF2">
        <w:rPr>
          <w:lang w:val="ro-MD" w:eastAsia="ro-MD"/>
        </w:rPr>
        <w:t>subpunctul 1) litera a)</w:t>
      </w:r>
      <w:r w:rsidR="00225FB7">
        <w:rPr>
          <w:lang w:val="ro-MD" w:eastAsia="ro-MD"/>
        </w:rPr>
        <w:t>,</w:t>
      </w:r>
      <w:r w:rsidR="006F6AF2" w:rsidRPr="006F6AF2">
        <w:rPr>
          <w:lang w:val="ro-MD" w:eastAsia="ro-MD"/>
        </w:rPr>
        <w:t xml:space="preserve"> </w:t>
      </w:r>
      <w:r w:rsidR="006F6AF2">
        <w:rPr>
          <w:lang w:val="ro-MD" w:eastAsia="ro-MD"/>
        </w:rPr>
        <w:t>cuvintele „</w:t>
      </w:r>
      <w:r w:rsidR="006F6AF2" w:rsidRPr="006F6AF2">
        <w:rPr>
          <w:lang w:val="ro-MD" w:eastAsia="ro-MD"/>
        </w:rPr>
        <w:t>cuantumul fondurilor</w:t>
      </w:r>
      <w:r w:rsidR="006F6AF2">
        <w:rPr>
          <w:lang w:val="ro-MD" w:eastAsia="ro-MD"/>
        </w:rPr>
        <w:t>” se substituie cu textul „</w:t>
      </w:r>
      <w:r w:rsidR="006F6AF2" w:rsidRPr="006F6AF2">
        <w:rPr>
          <w:lang w:val="ro-MD" w:eastAsia="ro-MD"/>
        </w:rPr>
        <w:t xml:space="preserve">în mod cumulativ, </w:t>
      </w:r>
      <w:bookmarkStart w:id="16" w:name="_Hlk206771611"/>
      <w:r w:rsidR="006F6AF2" w:rsidRPr="006F6AF2">
        <w:rPr>
          <w:lang w:val="ro-MD" w:eastAsia="ro-MD"/>
        </w:rPr>
        <w:t>cuantumul fondurilor</w:t>
      </w:r>
      <w:bookmarkEnd w:id="16"/>
      <w:r w:rsidR="006F6AF2">
        <w:rPr>
          <w:lang w:val="ro-MD" w:eastAsia="ro-MD"/>
        </w:rPr>
        <w:t>”;</w:t>
      </w:r>
    </w:p>
    <w:p w14:paraId="54DA9E25" w14:textId="77777777" w:rsidR="006F6AF2" w:rsidRDefault="006F6AF2" w:rsidP="00C936FF">
      <w:pPr>
        <w:pStyle w:val="ListParagraph"/>
        <w:numPr>
          <w:ilvl w:val="2"/>
          <w:numId w:val="27"/>
        </w:numPr>
        <w:ind w:left="0" w:firstLine="567"/>
        <w:jc w:val="both"/>
        <w:rPr>
          <w:lang w:val="ro-MD" w:eastAsia="ro-MD"/>
        </w:rPr>
      </w:pPr>
      <w:r>
        <w:rPr>
          <w:lang w:val="ro-MD" w:eastAsia="ro-MD"/>
        </w:rPr>
        <w:t>subpunctul 2) va avea următorul cuprins:</w:t>
      </w:r>
    </w:p>
    <w:p w14:paraId="3D4FC924" w14:textId="4A0F4130" w:rsidR="006F6AF2" w:rsidRDefault="006F6AF2" w:rsidP="00F1704E">
      <w:pPr>
        <w:jc w:val="both"/>
        <w:rPr>
          <w:lang w:val="ro-MD" w:eastAsia="ro-MD"/>
        </w:rPr>
      </w:pPr>
      <w:r w:rsidRPr="006F6AF2">
        <w:rPr>
          <w:lang w:val="ro-MD" w:eastAsia="ro-MD"/>
        </w:rPr>
        <w:t>„2) interesele minoritare ale filialei exprimate ca procent din totalitatea elementelor de fonduri proprii de nivel 1 de bază ale respectivei întreprinderi.</w:t>
      </w:r>
      <w:r>
        <w:rPr>
          <w:lang w:val="ro-MD" w:eastAsia="ro-MD"/>
        </w:rPr>
        <w:t>”;</w:t>
      </w:r>
    </w:p>
    <w:p w14:paraId="4A936CE6" w14:textId="0EBF7CC2" w:rsidR="006F6AF2" w:rsidRDefault="006F6AF2" w:rsidP="00C936FF">
      <w:pPr>
        <w:pStyle w:val="ListParagraph"/>
        <w:numPr>
          <w:ilvl w:val="2"/>
          <w:numId w:val="27"/>
        </w:numPr>
        <w:ind w:left="0" w:firstLine="567"/>
        <w:jc w:val="both"/>
        <w:rPr>
          <w:lang w:val="ro-MD" w:eastAsia="ro-MD"/>
        </w:rPr>
      </w:pPr>
      <w:bookmarkStart w:id="17" w:name="_Hlk206773299"/>
      <w:r>
        <w:rPr>
          <w:lang w:val="ro-MD" w:eastAsia="ro-MD"/>
        </w:rPr>
        <w:lastRenderedPageBreak/>
        <w:t xml:space="preserve">se completează cu </w:t>
      </w:r>
      <w:r w:rsidR="00EF40BD">
        <w:rPr>
          <w:lang w:val="ro-MD" w:eastAsia="ro-MD"/>
        </w:rPr>
        <w:t xml:space="preserve">un </w:t>
      </w:r>
      <w:r>
        <w:rPr>
          <w:lang w:val="ro-MD" w:eastAsia="ro-MD"/>
        </w:rPr>
        <w:t>alineat nou cu următorul cuprins:</w:t>
      </w:r>
    </w:p>
    <w:bookmarkEnd w:id="17"/>
    <w:p w14:paraId="31CEEE1A" w14:textId="1D756383" w:rsidR="006F6AF2" w:rsidRDefault="006F6AF2" w:rsidP="00F1704E">
      <w:pPr>
        <w:jc w:val="both"/>
        <w:rPr>
          <w:lang w:val="ro-MD" w:eastAsia="ro-MD"/>
        </w:rPr>
      </w:pPr>
      <w:r>
        <w:rPr>
          <w:lang w:val="ro-MD" w:eastAsia="ro-MD"/>
        </w:rPr>
        <w:t>„</w:t>
      </w:r>
      <w:r w:rsidR="004577B6" w:rsidRPr="004577B6">
        <w:rPr>
          <w:lang w:val="ro-MD" w:eastAsia="ro-MD"/>
        </w:rPr>
        <w:t>Prin derogare de la subpunctul 1), băncile pot să scadă oricare dintre cuantumurile menționate la subpunctul 1), după ce au demonstrat, într-un mod satisfăcător pentru Banca Națională a Moldovei, în calitate de autoritate competentă, că valoarea suplimentară a interesului minoritar este disponibilă pentru a absorbi pierderile la nivel consolidat</w:t>
      </w:r>
      <w:r w:rsidRPr="006F6AF2">
        <w:rPr>
          <w:lang w:val="ro-MD" w:eastAsia="ro-MD"/>
        </w:rPr>
        <w:t>.</w:t>
      </w:r>
      <w:r>
        <w:rPr>
          <w:lang w:val="ro-MD" w:eastAsia="ro-MD"/>
        </w:rPr>
        <w:t>”.</w:t>
      </w:r>
    </w:p>
    <w:p w14:paraId="4A9893E8" w14:textId="77777777" w:rsidR="004577B6" w:rsidRDefault="004577B6" w:rsidP="00C936FF">
      <w:pPr>
        <w:pStyle w:val="ListParagraph"/>
        <w:numPr>
          <w:ilvl w:val="1"/>
          <w:numId w:val="27"/>
        </w:numPr>
        <w:spacing w:before="80"/>
        <w:ind w:left="0" w:firstLine="567"/>
        <w:contextualSpacing w:val="0"/>
        <w:jc w:val="both"/>
        <w:rPr>
          <w:lang w:val="ro-MD" w:eastAsia="ro-MD"/>
        </w:rPr>
      </w:pPr>
      <w:r>
        <w:rPr>
          <w:lang w:val="ro-MD" w:eastAsia="ro-MD"/>
        </w:rPr>
        <w:t>La p</w:t>
      </w:r>
      <w:r w:rsidR="006F6AF2">
        <w:rPr>
          <w:lang w:val="ro-MD" w:eastAsia="ro-MD"/>
        </w:rPr>
        <w:t>unctul 129</w:t>
      </w:r>
      <w:r w:rsidR="006F6AF2">
        <w:rPr>
          <w:vertAlign w:val="superscript"/>
          <w:lang w:val="ro-MD" w:eastAsia="ro-MD"/>
        </w:rPr>
        <w:t>5</w:t>
      </w:r>
      <w:r w:rsidR="006F6AF2">
        <w:rPr>
          <w:lang w:val="ro-MD" w:eastAsia="ro-MD"/>
        </w:rPr>
        <w:t xml:space="preserve"> </w:t>
      </w:r>
      <w:r>
        <w:rPr>
          <w:lang w:val="ro-MD" w:eastAsia="ro-MD"/>
        </w:rPr>
        <w:t>:</w:t>
      </w:r>
    </w:p>
    <w:p w14:paraId="1DD26F2B" w14:textId="3B774A31" w:rsidR="004577B6" w:rsidRDefault="004577B6" w:rsidP="004577B6">
      <w:pPr>
        <w:pStyle w:val="ListParagraph"/>
        <w:numPr>
          <w:ilvl w:val="2"/>
          <w:numId w:val="27"/>
        </w:numPr>
        <w:spacing w:before="80"/>
        <w:ind w:left="0" w:firstLine="567"/>
        <w:contextualSpacing w:val="0"/>
        <w:jc w:val="both"/>
        <w:rPr>
          <w:lang w:val="ro-MD" w:eastAsia="ro-MD"/>
        </w:rPr>
      </w:pPr>
      <w:r>
        <w:rPr>
          <w:lang w:val="ro-MD" w:eastAsia="ro-MD"/>
        </w:rPr>
        <w:t>în alineatul introductiv</w:t>
      </w:r>
      <w:r w:rsidR="00EF40BD">
        <w:rPr>
          <w:lang w:val="ro-MD" w:eastAsia="ro-MD"/>
        </w:rPr>
        <w:t>,</w:t>
      </w:r>
      <w:r>
        <w:rPr>
          <w:lang w:val="ro-MD" w:eastAsia="ro-MD"/>
        </w:rPr>
        <w:t xml:space="preserve"> cuvintele „Băncii Naționale a Moldovei” se completează cu textul „ , în calitate de autoritate competentă”;</w:t>
      </w:r>
    </w:p>
    <w:p w14:paraId="7CE95E0D" w14:textId="4326B981" w:rsidR="006F6AF2" w:rsidRDefault="006F6AF2" w:rsidP="004577B6">
      <w:pPr>
        <w:pStyle w:val="ListParagraph"/>
        <w:numPr>
          <w:ilvl w:val="2"/>
          <w:numId w:val="27"/>
        </w:numPr>
        <w:spacing w:before="80"/>
        <w:ind w:left="0" w:firstLine="567"/>
        <w:contextualSpacing w:val="0"/>
        <w:jc w:val="both"/>
        <w:rPr>
          <w:lang w:val="ro-MD" w:eastAsia="ro-MD"/>
        </w:rPr>
      </w:pPr>
      <w:r>
        <w:rPr>
          <w:lang w:val="ro-MD" w:eastAsia="ro-MD"/>
        </w:rPr>
        <w:t>subpunctul 3)</w:t>
      </w:r>
      <w:r w:rsidR="00EF40BD">
        <w:rPr>
          <w:lang w:val="ro-MD" w:eastAsia="ro-MD"/>
        </w:rPr>
        <w:t>,</w:t>
      </w:r>
      <w:r>
        <w:rPr>
          <w:lang w:val="ro-MD" w:eastAsia="ro-MD"/>
        </w:rPr>
        <w:t xml:space="preserve"> </w:t>
      </w:r>
      <w:r w:rsidR="00256FAB">
        <w:rPr>
          <w:lang w:val="ro-MD" w:eastAsia="ro-MD"/>
        </w:rPr>
        <w:t>după cuvintele „consolidează o filială” se completează cu textul „ , care este o bancă,”.</w:t>
      </w:r>
    </w:p>
    <w:p w14:paraId="528DE839" w14:textId="10C7F89C" w:rsidR="00256FAB" w:rsidRDefault="00256FAB" w:rsidP="00C936FF">
      <w:pPr>
        <w:pStyle w:val="ListParagraph"/>
        <w:numPr>
          <w:ilvl w:val="1"/>
          <w:numId w:val="27"/>
        </w:numPr>
        <w:spacing w:before="80"/>
        <w:ind w:left="0" w:firstLine="567"/>
        <w:contextualSpacing w:val="0"/>
        <w:jc w:val="both"/>
        <w:rPr>
          <w:lang w:val="ro-MD" w:eastAsia="ro-MD"/>
        </w:rPr>
      </w:pPr>
      <w:r>
        <w:rPr>
          <w:lang w:val="ro-MD" w:eastAsia="ro-MD"/>
        </w:rPr>
        <w:t>Punctul 129</w:t>
      </w:r>
      <w:r>
        <w:rPr>
          <w:vertAlign w:val="superscript"/>
          <w:lang w:val="ro-MD" w:eastAsia="ro-MD"/>
        </w:rPr>
        <w:t>11</w:t>
      </w:r>
      <w:r>
        <w:rPr>
          <w:lang w:val="ro-MD" w:eastAsia="ro-MD"/>
        </w:rPr>
        <w:t xml:space="preserve"> se completează cu un alineat nou cu următorul cuprins:</w:t>
      </w:r>
    </w:p>
    <w:p w14:paraId="34CF3B0F" w14:textId="6A661D14" w:rsidR="00256FAB" w:rsidRDefault="00256FAB" w:rsidP="00256FAB">
      <w:pPr>
        <w:jc w:val="both"/>
        <w:rPr>
          <w:lang w:val="ro-MD" w:eastAsia="ro-MD"/>
        </w:rPr>
      </w:pPr>
      <w:r>
        <w:rPr>
          <w:lang w:val="ro-MD" w:eastAsia="ro-MD"/>
        </w:rPr>
        <w:t>„</w:t>
      </w:r>
      <w:r w:rsidR="00884F18" w:rsidRPr="00884F18">
        <w:rPr>
          <w:lang w:val="ro-MD" w:eastAsia="ro-MD"/>
        </w:rPr>
        <w:t>Prin derogare de la subpunctul 1), băncile pot să scadă oricare dintre cuantumurile menționate la subpunctul 1), după ce au demonstrat, într-un mod satisfăcător pentru Banca Națională a Moldovei, în calitate de autoritate competentă, că valoarea suplimentară a fondurilor proprii de nivel 1 este disponibilă pentru a absorbi pierderile la nivel consolidat</w:t>
      </w:r>
      <w:r w:rsidRPr="00256FAB">
        <w:rPr>
          <w:lang w:val="ro-MD" w:eastAsia="ro-MD"/>
        </w:rPr>
        <w:t>.</w:t>
      </w:r>
      <w:r>
        <w:rPr>
          <w:lang w:val="ro-MD" w:eastAsia="ro-MD"/>
        </w:rPr>
        <w:t>”.</w:t>
      </w:r>
    </w:p>
    <w:p w14:paraId="34420827" w14:textId="38746762" w:rsidR="00256FAB" w:rsidRDefault="00B13889" w:rsidP="00C936FF">
      <w:pPr>
        <w:pStyle w:val="ListParagraph"/>
        <w:numPr>
          <w:ilvl w:val="1"/>
          <w:numId w:val="27"/>
        </w:numPr>
        <w:spacing w:before="80"/>
        <w:ind w:left="0" w:firstLine="567"/>
        <w:contextualSpacing w:val="0"/>
        <w:jc w:val="both"/>
        <w:rPr>
          <w:lang w:val="ro-MD" w:eastAsia="ro-MD"/>
        </w:rPr>
      </w:pPr>
      <w:r>
        <w:rPr>
          <w:lang w:val="ro-MD" w:eastAsia="ro-MD"/>
        </w:rPr>
        <w:t>La p</w:t>
      </w:r>
      <w:r w:rsidR="00397D54">
        <w:rPr>
          <w:lang w:val="ro-MD" w:eastAsia="ro-MD"/>
        </w:rPr>
        <w:t>unctul 129</w:t>
      </w:r>
      <w:r w:rsidR="00397D54">
        <w:rPr>
          <w:vertAlign w:val="superscript"/>
          <w:lang w:val="ro-MD" w:eastAsia="ro-MD"/>
        </w:rPr>
        <w:t>13</w:t>
      </w:r>
      <w:r w:rsidR="00397D54">
        <w:rPr>
          <w:lang w:val="ro-MD" w:eastAsia="ro-MD"/>
        </w:rPr>
        <w:t>:</w:t>
      </w:r>
    </w:p>
    <w:p w14:paraId="79DEFABB" w14:textId="60DC2BFD" w:rsidR="00397D54" w:rsidRDefault="00397D54" w:rsidP="00C936FF">
      <w:pPr>
        <w:pStyle w:val="ListParagraph"/>
        <w:numPr>
          <w:ilvl w:val="2"/>
          <w:numId w:val="27"/>
        </w:numPr>
        <w:ind w:left="0" w:firstLine="567"/>
        <w:jc w:val="both"/>
        <w:rPr>
          <w:lang w:val="ro-MD" w:eastAsia="ro-MD"/>
        </w:rPr>
      </w:pPr>
      <w:r>
        <w:rPr>
          <w:lang w:val="ro-MD" w:eastAsia="ro-MD"/>
        </w:rPr>
        <w:t>subpunctul 2) va avea următorul cuprins:</w:t>
      </w:r>
    </w:p>
    <w:p w14:paraId="5BC8AF90" w14:textId="2997B2D7" w:rsidR="00397D54" w:rsidRDefault="00397D54" w:rsidP="00B13889">
      <w:pPr>
        <w:jc w:val="both"/>
        <w:rPr>
          <w:lang w:val="ro-MD" w:eastAsia="ro-MD"/>
        </w:rPr>
      </w:pPr>
      <w:r>
        <w:rPr>
          <w:lang w:val="ro-MD" w:eastAsia="ro-MD"/>
        </w:rPr>
        <w:t>„</w:t>
      </w:r>
      <w:r w:rsidRPr="00397D54">
        <w:rPr>
          <w:lang w:val="ro-MD" w:eastAsia="ro-MD"/>
        </w:rPr>
        <w:t>2) fondurile proprii eligibile ale întreprinderii, exprimate ca procent din totalitatea instrumentelor de fonduri proprii de nivel 1 de bază, în elementele de fonduri proprii de nivel 1 suplimentar și în elementele de fonduri proprii de nivel 2, cu excepția cuantumurilor menționate la punctul 96 subpunctul 3) și 4), al</w:t>
      </w:r>
      <w:r w:rsidR="00884F18">
        <w:rPr>
          <w:lang w:val="ro-MD" w:eastAsia="ro-MD"/>
        </w:rPr>
        <w:t>e</w:t>
      </w:r>
      <w:r w:rsidRPr="00397D54">
        <w:rPr>
          <w:lang w:val="ro-MD" w:eastAsia="ro-MD"/>
        </w:rPr>
        <w:t xml:space="preserve"> respectivei întreprinderi.</w:t>
      </w:r>
      <w:r>
        <w:rPr>
          <w:lang w:val="ro-MD" w:eastAsia="ro-MD"/>
        </w:rPr>
        <w:t>”;</w:t>
      </w:r>
    </w:p>
    <w:p w14:paraId="08720851" w14:textId="2955954E" w:rsidR="00397D54" w:rsidRDefault="00CB695D" w:rsidP="00C936FF">
      <w:pPr>
        <w:pStyle w:val="ListParagraph"/>
        <w:numPr>
          <w:ilvl w:val="2"/>
          <w:numId w:val="27"/>
        </w:numPr>
        <w:ind w:left="0" w:firstLine="567"/>
        <w:rPr>
          <w:lang w:val="ro-MD" w:eastAsia="ro-MD"/>
        </w:rPr>
      </w:pPr>
      <w:r w:rsidRPr="00CB695D">
        <w:rPr>
          <w:lang w:val="ro-MD" w:eastAsia="ro-MD"/>
        </w:rPr>
        <w:t xml:space="preserve">se completează cu </w:t>
      </w:r>
      <w:r w:rsidR="0099463F">
        <w:rPr>
          <w:lang w:val="ro-MD" w:eastAsia="ro-MD"/>
        </w:rPr>
        <w:t xml:space="preserve">un </w:t>
      </w:r>
      <w:r w:rsidRPr="00CB695D">
        <w:rPr>
          <w:lang w:val="ro-MD" w:eastAsia="ro-MD"/>
        </w:rPr>
        <w:t>alineat nou cu următorul cuprins:</w:t>
      </w:r>
    </w:p>
    <w:p w14:paraId="3FB477D7" w14:textId="6A767BF4" w:rsidR="00CB695D" w:rsidRDefault="00CB695D" w:rsidP="00B13889">
      <w:pPr>
        <w:jc w:val="both"/>
        <w:rPr>
          <w:lang w:val="ro-MD" w:eastAsia="ro-MD"/>
        </w:rPr>
      </w:pPr>
      <w:r>
        <w:rPr>
          <w:lang w:val="ro-MD" w:eastAsia="ro-MD"/>
        </w:rPr>
        <w:t>„</w:t>
      </w:r>
      <w:r w:rsidR="00884F18" w:rsidRPr="00884F18">
        <w:rPr>
          <w:lang w:val="ro-MD" w:eastAsia="ro-MD"/>
        </w:rPr>
        <w:t>Prin derogare de la subpunctul 1), băncile pot să scadă oricare dintre cuantumurile menționate la subpunctul 1), după ce au demonstrat, într-un mod satisfăcător pentru Banca Națională a Moldovei, în calitate de autoritate competentă, că valoarea suplimentară a fondurilor proprii este disponibilă pentru a absorbi pierderile la nivel consolidat</w:t>
      </w:r>
      <w:r w:rsidRPr="00CB695D">
        <w:rPr>
          <w:lang w:val="ro-MD" w:eastAsia="ro-MD"/>
        </w:rPr>
        <w:t>.</w:t>
      </w:r>
      <w:r>
        <w:rPr>
          <w:lang w:val="ro-MD" w:eastAsia="ro-MD"/>
        </w:rPr>
        <w:t>”.</w:t>
      </w:r>
    </w:p>
    <w:p w14:paraId="42F2A1EA" w14:textId="7E7F7276" w:rsidR="00CB695D" w:rsidRPr="00CB695D" w:rsidRDefault="00CB695D" w:rsidP="00C936FF">
      <w:pPr>
        <w:pStyle w:val="ListParagraph"/>
        <w:numPr>
          <w:ilvl w:val="1"/>
          <w:numId w:val="27"/>
        </w:numPr>
        <w:spacing w:before="80"/>
        <w:ind w:left="0" w:firstLine="567"/>
        <w:contextualSpacing w:val="0"/>
        <w:rPr>
          <w:lang w:val="ro-MD" w:eastAsia="ro-MD"/>
        </w:rPr>
      </w:pPr>
      <w:r>
        <w:rPr>
          <w:lang w:val="ro-MD" w:eastAsia="ro-MD"/>
        </w:rPr>
        <w:t>S</w:t>
      </w:r>
      <w:r w:rsidRPr="00CB695D">
        <w:rPr>
          <w:lang w:val="ro-MD" w:eastAsia="ro-MD"/>
        </w:rPr>
        <w:t>e completează cu punctele 129</w:t>
      </w:r>
      <w:r>
        <w:rPr>
          <w:vertAlign w:val="superscript"/>
          <w:lang w:val="ro-MD" w:eastAsia="ro-MD"/>
        </w:rPr>
        <w:t>15</w:t>
      </w:r>
      <w:r w:rsidRPr="00CB695D">
        <w:rPr>
          <w:lang w:val="ro-MD" w:eastAsia="ro-MD"/>
        </w:rPr>
        <w:t xml:space="preserve"> și 129</w:t>
      </w:r>
      <w:r>
        <w:rPr>
          <w:vertAlign w:val="superscript"/>
          <w:lang w:val="ro-MD" w:eastAsia="ro-MD"/>
        </w:rPr>
        <w:t>16</w:t>
      </w:r>
      <w:r w:rsidRPr="00CB695D">
        <w:rPr>
          <w:lang w:val="ro-MD" w:eastAsia="ro-MD"/>
        </w:rPr>
        <w:t xml:space="preserve"> cu următorul cuprins:</w:t>
      </w:r>
    </w:p>
    <w:p w14:paraId="03354251" w14:textId="793B5414" w:rsidR="00CB695D" w:rsidRPr="00CB695D" w:rsidRDefault="00CB695D" w:rsidP="00CB695D">
      <w:pPr>
        <w:jc w:val="both"/>
        <w:rPr>
          <w:sz w:val="18"/>
          <w:szCs w:val="18"/>
          <w:lang w:val="ro-MD" w:eastAsia="ro-MD"/>
        </w:rPr>
      </w:pPr>
      <w:r>
        <w:rPr>
          <w:lang w:val="ro-MD" w:eastAsia="ro-MD"/>
        </w:rPr>
        <w:t>„</w:t>
      </w:r>
      <w:r w:rsidRPr="00CB695D">
        <w:rPr>
          <w:b/>
          <w:bCs/>
          <w:lang w:val="ro-MD" w:eastAsia="ro-MD"/>
        </w:rPr>
        <w:t>129</w:t>
      </w:r>
      <w:r w:rsidRPr="00CB695D">
        <w:rPr>
          <w:b/>
          <w:bCs/>
          <w:vertAlign w:val="superscript"/>
          <w:lang w:val="ro-MD" w:eastAsia="ro-MD"/>
        </w:rPr>
        <w:t>15</w:t>
      </w:r>
      <w:r w:rsidRPr="00CB695D">
        <w:rPr>
          <w:b/>
          <w:bCs/>
          <w:lang w:val="ro-MD" w:eastAsia="ro-MD"/>
        </w:rPr>
        <w:t>.</w:t>
      </w:r>
      <w:r w:rsidRPr="00CB695D">
        <w:rPr>
          <w:lang w:val="ro-MD" w:eastAsia="ro-MD"/>
        </w:rPr>
        <w:t xml:space="preserve"> În cazul în care Banca Națională a Moldovei</w:t>
      </w:r>
      <w:r w:rsidR="009055C1">
        <w:rPr>
          <w:lang w:eastAsia="ro-MD"/>
        </w:rPr>
        <w:t>,</w:t>
      </w:r>
      <w:r w:rsidR="009055C1" w:rsidRPr="00F50C40">
        <w:rPr>
          <w:lang w:eastAsia="ro-MD"/>
        </w:rPr>
        <w:t xml:space="preserve"> </w:t>
      </w:r>
      <w:r w:rsidR="009055C1" w:rsidRPr="009055C1">
        <w:rPr>
          <w:lang w:val="ro-RO" w:eastAsia="ro-MD"/>
        </w:rPr>
        <w:t xml:space="preserve">în calitate de autoritate competentă, </w:t>
      </w:r>
      <w:r w:rsidRPr="00CB695D">
        <w:rPr>
          <w:lang w:val="ro-MD" w:eastAsia="ro-MD"/>
        </w:rPr>
        <w:t>acordă o derogare de la aplicarea cerințelor prudențiale pe bază individuală, astfel cum este prevăzut la punctul 13 din regulamentul nr.101/2020, interesele minoritare, instrumentele de fonduri proprii de nivel 1 de bază, respectiv instrumentele de fonduri proprii, din cadrul filialelor cărora li se aplică derogarea nu sunt recunoscute drept fonduri proprii la nivel consolidat.</w:t>
      </w:r>
      <w:r w:rsidRPr="00CB695D">
        <w:rPr>
          <w:sz w:val="18"/>
          <w:szCs w:val="18"/>
          <w:highlight w:val="lightGray"/>
          <w:lang w:val="ro-MD" w:eastAsia="ro-MD"/>
        </w:rPr>
        <w:t xml:space="preserve"> </w:t>
      </w:r>
    </w:p>
    <w:p w14:paraId="1C6E6CB5" w14:textId="3F2755A0" w:rsidR="006F6AF2" w:rsidRDefault="00CB695D" w:rsidP="00CB695D">
      <w:pPr>
        <w:jc w:val="both"/>
        <w:rPr>
          <w:lang w:val="ro-MD" w:eastAsia="ro-MD"/>
        </w:rPr>
      </w:pPr>
      <w:r w:rsidRPr="00CB695D">
        <w:rPr>
          <w:b/>
          <w:bCs/>
          <w:lang w:val="ro-MD" w:eastAsia="ro-MD"/>
        </w:rPr>
        <w:t>129</w:t>
      </w:r>
      <w:r w:rsidRPr="00CB695D">
        <w:rPr>
          <w:b/>
          <w:bCs/>
          <w:vertAlign w:val="superscript"/>
          <w:lang w:val="ro-MD" w:eastAsia="ro-MD"/>
        </w:rPr>
        <w:t>16</w:t>
      </w:r>
      <w:r w:rsidRPr="00CB695D">
        <w:rPr>
          <w:b/>
          <w:bCs/>
          <w:lang w:val="ro-MD" w:eastAsia="ro-MD"/>
        </w:rPr>
        <w:t>.</w:t>
      </w:r>
      <w:r w:rsidRPr="00CB695D">
        <w:rPr>
          <w:lang w:val="ro-MD" w:eastAsia="ro-MD"/>
        </w:rPr>
        <w:t xml:space="preserve"> În sensul punctului 129</w:t>
      </w:r>
      <w:r w:rsidRPr="00CB695D">
        <w:rPr>
          <w:vertAlign w:val="superscript"/>
          <w:lang w:val="ro-MD" w:eastAsia="ro-MD"/>
        </w:rPr>
        <w:t>15</w:t>
      </w:r>
      <w:r w:rsidRPr="00CB695D">
        <w:rPr>
          <w:lang w:val="ro-MD" w:eastAsia="ro-MD"/>
        </w:rPr>
        <w:t>, în cazul în care derogarea se aplică unei filiale, orice întreprindere-mamă a filialei care beneficiază de derogare poate include în fondurile sale proprii de nivel 1 de bază interesele minoritare aferente filialelor filialei care beneficiază de derogare, cu condiția să se fi efectuat, pentru fiecare dintre aceste filiale, calculele prevăzute la punctul 129</w:t>
      </w:r>
      <w:r w:rsidRPr="00CB695D">
        <w:rPr>
          <w:vertAlign w:val="superscript"/>
          <w:lang w:val="ro-MD" w:eastAsia="ro-MD"/>
        </w:rPr>
        <w:t>4</w:t>
      </w:r>
      <w:r w:rsidRPr="00CB695D">
        <w:rPr>
          <w:lang w:val="ro-MD" w:eastAsia="ro-MD"/>
        </w:rPr>
        <w:t>. Cuantumul fondurilor proprii de nivel 1 de bază incluse în fondurile proprii la nivelul întreprinderii-mamă nu poate depăși cuantumul care ar fi fost inclus dacă filiala nu ar fi beneficiat de nicio derogare.</w:t>
      </w:r>
      <w:r>
        <w:rPr>
          <w:lang w:val="ro-MD" w:eastAsia="ro-MD"/>
        </w:rPr>
        <w:t>”.</w:t>
      </w:r>
    </w:p>
    <w:p w14:paraId="383DFCB7" w14:textId="7A572415" w:rsidR="00C97C63" w:rsidRPr="00C97C63" w:rsidRDefault="00C97C63" w:rsidP="00EC0988">
      <w:pPr>
        <w:pStyle w:val="ListParagraph"/>
        <w:numPr>
          <w:ilvl w:val="1"/>
          <w:numId w:val="27"/>
        </w:numPr>
        <w:spacing w:before="80"/>
        <w:ind w:left="0" w:firstLine="567"/>
        <w:contextualSpacing w:val="0"/>
        <w:rPr>
          <w:lang w:val="ro-MD" w:eastAsia="ro-MD"/>
        </w:rPr>
      </w:pPr>
      <w:r w:rsidRPr="00C97C63">
        <w:rPr>
          <w:lang w:val="ro-MD" w:eastAsia="ro-MD"/>
        </w:rPr>
        <w:t>Se completează cu punct</w:t>
      </w:r>
      <w:r>
        <w:rPr>
          <w:lang w:val="ro-MD" w:eastAsia="ro-MD"/>
        </w:rPr>
        <w:t>ul</w:t>
      </w:r>
      <w:r w:rsidRPr="00C97C63">
        <w:rPr>
          <w:lang w:val="ro-MD" w:eastAsia="ro-MD"/>
        </w:rPr>
        <w:t xml:space="preserve"> 1</w:t>
      </w:r>
      <w:r>
        <w:rPr>
          <w:lang w:val="ro-MD" w:eastAsia="ro-MD"/>
        </w:rPr>
        <w:t>31</w:t>
      </w:r>
      <w:r>
        <w:rPr>
          <w:vertAlign w:val="superscript"/>
          <w:lang w:val="ro-MD" w:eastAsia="ro-MD"/>
        </w:rPr>
        <w:t>1</w:t>
      </w:r>
      <w:r w:rsidRPr="00C97C63">
        <w:rPr>
          <w:lang w:val="ro-MD" w:eastAsia="ro-MD"/>
        </w:rPr>
        <w:t xml:space="preserve"> cu următorul cuprins:</w:t>
      </w:r>
    </w:p>
    <w:p w14:paraId="2DE7F79E" w14:textId="77777777" w:rsidR="00C97C63" w:rsidRPr="00C97C63" w:rsidRDefault="00C97C63" w:rsidP="00C97C63">
      <w:pPr>
        <w:jc w:val="both"/>
        <w:rPr>
          <w:lang w:val="ro-MD" w:eastAsia="ro-MD"/>
        </w:rPr>
      </w:pPr>
      <w:r>
        <w:rPr>
          <w:lang w:val="ro-MD" w:eastAsia="ro-MD"/>
        </w:rPr>
        <w:t>„</w:t>
      </w:r>
      <w:bookmarkStart w:id="18" w:name="_Hlk206773908"/>
      <w:r w:rsidRPr="00C97C63">
        <w:rPr>
          <w:b/>
          <w:bCs/>
          <w:lang w:val="ro-MD" w:eastAsia="ro-MD"/>
        </w:rPr>
        <w:t>131</w:t>
      </w:r>
      <w:r w:rsidRPr="00C97C63">
        <w:rPr>
          <w:b/>
          <w:bCs/>
          <w:vertAlign w:val="superscript"/>
          <w:lang w:val="ro-MD" w:eastAsia="ro-MD"/>
        </w:rPr>
        <w:t>1</w:t>
      </w:r>
      <w:r w:rsidRPr="00C97C63">
        <w:rPr>
          <w:b/>
          <w:bCs/>
          <w:lang w:val="ro-MD" w:eastAsia="ro-MD"/>
        </w:rPr>
        <w:t>.</w:t>
      </w:r>
      <w:r w:rsidRPr="00C97C63">
        <w:rPr>
          <w:lang w:val="ro-MD" w:eastAsia="ro-MD"/>
        </w:rPr>
        <w:t xml:space="preserve"> Băncile calculează cuantumul total al expunerii la risc după cum urmează:</w:t>
      </w:r>
    </w:p>
    <w:p w14:paraId="371322FE" w14:textId="77777777" w:rsidR="00C97C63" w:rsidRPr="00C97C63" w:rsidRDefault="00C97C63" w:rsidP="00C97C63">
      <w:pPr>
        <w:ind w:firstLine="567"/>
        <w:jc w:val="both"/>
        <w:rPr>
          <w:lang w:val="ro-MD" w:eastAsia="ro-MD"/>
        </w:rPr>
      </w:pPr>
      <w:r w:rsidRPr="00C97C63">
        <w:rPr>
          <w:lang w:val="ro-MD" w:eastAsia="ro-MD"/>
        </w:rPr>
        <w:t xml:space="preserve">TREA = </w:t>
      </w:r>
      <w:proofErr w:type="spellStart"/>
      <w:r w:rsidRPr="00C97C63">
        <w:rPr>
          <w:lang w:val="ro-MD" w:eastAsia="ro-MD"/>
        </w:rPr>
        <w:t>max</w:t>
      </w:r>
      <w:proofErr w:type="spellEnd"/>
      <w:r w:rsidRPr="00C97C63">
        <w:rPr>
          <w:lang w:val="ro-MD" w:eastAsia="ro-MD"/>
        </w:rPr>
        <w:t xml:space="preserve"> {U-TREA; x · S-TREA}</w:t>
      </w:r>
    </w:p>
    <w:p w14:paraId="743245C2" w14:textId="77777777" w:rsidR="00C97C63" w:rsidRPr="00C97C63" w:rsidRDefault="00C97C63" w:rsidP="00C97C63">
      <w:pPr>
        <w:ind w:firstLine="567"/>
        <w:jc w:val="both"/>
        <w:rPr>
          <w:lang w:val="ro-MD" w:eastAsia="ro-MD"/>
        </w:rPr>
      </w:pPr>
    </w:p>
    <w:p w14:paraId="47AB1B5D" w14:textId="77777777" w:rsidR="00C97C63" w:rsidRPr="00C97C63" w:rsidRDefault="00C97C63" w:rsidP="00C97C63">
      <w:pPr>
        <w:ind w:firstLine="567"/>
        <w:jc w:val="both"/>
        <w:rPr>
          <w:lang w:val="ro-MD" w:eastAsia="ro-MD"/>
        </w:rPr>
      </w:pPr>
      <w:r w:rsidRPr="00C97C63">
        <w:rPr>
          <w:lang w:val="ro-MD" w:eastAsia="ro-MD"/>
        </w:rPr>
        <w:t>unde:</w:t>
      </w:r>
    </w:p>
    <w:p w14:paraId="0A458A3E" w14:textId="77777777" w:rsidR="00C97C63" w:rsidRPr="00C97C63" w:rsidRDefault="00C97C63" w:rsidP="00C97C63">
      <w:pPr>
        <w:ind w:firstLine="567"/>
        <w:jc w:val="both"/>
        <w:rPr>
          <w:lang w:val="ro-MD" w:eastAsia="ro-MD"/>
        </w:rPr>
      </w:pPr>
      <w:r w:rsidRPr="00C97C63">
        <w:rPr>
          <w:lang w:val="ro-MD" w:eastAsia="ro-MD"/>
        </w:rPr>
        <w:t>TREA = cuantumul total al expunerii la risc;</w:t>
      </w:r>
    </w:p>
    <w:p w14:paraId="28D51CA1" w14:textId="77777777" w:rsidR="00C97C63" w:rsidRPr="00C97C63" w:rsidRDefault="00C97C63" w:rsidP="00C97C63">
      <w:pPr>
        <w:ind w:firstLine="567"/>
        <w:jc w:val="both"/>
        <w:rPr>
          <w:lang w:val="ro-MD" w:eastAsia="ro-MD"/>
        </w:rPr>
      </w:pPr>
      <w:r w:rsidRPr="00C97C63">
        <w:rPr>
          <w:lang w:val="ro-MD" w:eastAsia="ro-MD"/>
        </w:rPr>
        <w:t>U-TREA = cuantumul total al expunerii la risc fără aplicarea pragului minim, calculat în conformitate cu punctul 132;</w:t>
      </w:r>
    </w:p>
    <w:p w14:paraId="12B8177F" w14:textId="77777777" w:rsidR="00C97C63" w:rsidRPr="00C97C63" w:rsidRDefault="00C97C63" w:rsidP="00C97C63">
      <w:pPr>
        <w:ind w:firstLine="567"/>
        <w:jc w:val="both"/>
        <w:rPr>
          <w:lang w:val="ro-MD" w:eastAsia="ro-MD"/>
        </w:rPr>
      </w:pPr>
      <w:r w:rsidRPr="00C97C63">
        <w:rPr>
          <w:lang w:val="ro-MD" w:eastAsia="ro-MD"/>
        </w:rPr>
        <w:lastRenderedPageBreak/>
        <w:t>S-TREA = cuantumul total al expunerii la risc conform abordărilor standardizate, calculat în conformitate cu punctul 132</w:t>
      </w:r>
      <w:r w:rsidRPr="00C97C63">
        <w:rPr>
          <w:vertAlign w:val="superscript"/>
          <w:lang w:val="ro-MD" w:eastAsia="ro-MD"/>
        </w:rPr>
        <w:t>1</w:t>
      </w:r>
      <w:r w:rsidRPr="00C97C63">
        <w:rPr>
          <w:lang w:val="ro-MD" w:eastAsia="ro-MD"/>
        </w:rPr>
        <w:t>;</w:t>
      </w:r>
    </w:p>
    <w:p w14:paraId="08F469EE" w14:textId="782AC6B8" w:rsidR="00C97C63" w:rsidRDefault="00C97C63" w:rsidP="00461C85">
      <w:pPr>
        <w:ind w:firstLine="567"/>
        <w:jc w:val="both"/>
        <w:rPr>
          <w:sz w:val="18"/>
          <w:szCs w:val="18"/>
          <w:lang w:val="ro-MD" w:eastAsia="ro-MD"/>
        </w:rPr>
      </w:pPr>
      <w:r w:rsidRPr="00C97C63">
        <w:rPr>
          <w:lang w:val="ro-MD" w:eastAsia="ro-MD"/>
        </w:rPr>
        <w:t>x = 72,5%.</w:t>
      </w:r>
      <w:bookmarkEnd w:id="18"/>
      <w:r>
        <w:rPr>
          <w:sz w:val="18"/>
          <w:szCs w:val="18"/>
          <w:lang w:val="ro-MD" w:eastAsia="ro-MD"/>
        </w:rPr>
        <w:t>”.</w:t>
      </w:r>
    </w:p>
    <w:p w14:paraId="5D44AAA1" w14:textId="5AD16145" w:rsidR="00C97C63" w:rsidRDefault="00C97C63" w:rsidP="00EC0988">
      <w:pPr>
        <w:pStyle w:val="ListParagraph"/>
        <w:numPr>
          <w:ilvl w:val="1"/>
          <w:numId w:val="27"/>
        </w:numPr>
        <w:spacing w:before="80"/>
        <w:ind w:left="0" w:firstLine="567"/>
        <w:contextualSpacing w:val="0"/>
        <w:jc w:val="both"/>
        <w:rPr>
          <w:lang w:val="ro-MD" w:eastAsia="ro-MD"/>
        </w:rPr>
      </w:pPr>
      <w:r>
        <w:rPr>
          <w:lang w:val="ro-MD" w:eastAsia="ro-MD"/>
        </w:rPr>
        <w:t>Punctul 132 va avea următorul cuprins:</w:t>
      </w:r>
    </w:p>
    <w:p w14:paraId="6ED1C630" w14:textId="075E8DF9" w:rsidR="00C97C63" w:rsidRPr="00C97C63" w:rsidRDefault="00C97C63" w:rsidP="00BE68E3">
      <w:pPr>
        <w:jc w:val="both"/>
        <w:rPr>
          <w:lang w:val="ro-MD" w:eastAsia="ro-MD"/>
        </w:rPr>
      </w:pPr>
      <w:r>
        <w:rPr>
          <w:lang w:val="ro-MD" w:eastAsia="ro-MD"/>
        </w:rPr>
        <w:t>„</w:t>
      </w:r>
      <w:r w:rsidRPr="00C97C63">
        <w:rPr>
          <w:b/>
          <w:bCs/>
          <w:lang w:val="ro-MD" w:eastAsia="ro-MD"/>
        </w:rPr>
        <w:t>132.</w:t>
      </w:r>
      <w:r w:rsidRPr="00C97C63">
        <w:rPr>
          <w:lang w:val="ro-MD" w:eastAsia="ro-MD"/>
        </w:rPr>
        <w:t xml:space="preserve"> Cuantumul total al expunerii la risc, </w:t>
      </w:r>
      <w:r w:rsidRPr="00C97C63">
        <w:rPr>
          <w:lang w:val="ro-RO" w:eastAsia="ro-MD"/>
        </w:rPr>
        <w:t>fără aplicarea</w:t>
      </w:r>
      <w:r w:rsidRPr="00C97C63">
        <w:rPr>
          <w:lang w:val="ro-MD" w:eastAsia="ro-MD"/>
        </w:rPr>
        <w:t xml:space="preserve"> pragului minim este egal cu suma subpunctelor 1)-6), după ce au fost luate în considerare dispozițiile prevăzute la punctul 133:</w:t>
      </w:r>
    </w:p>
    <w:p w14:paraId="00AD0485" w14:textId="5179439A" w:rsidR="00C97C63" w:rsidRPr="00C97C63" w:rsidRDefault="00C97C63" w:rsidP="00C97C63">
      <w:pPr>
        <w:jc w:val="both"/>
        <w:rPr>
          <w:lang w:val="ro-MD" w:eastAsia="ro-MD"/>
        </w:rPr>
      </w:pPr>
      <w:r w:rsidRPr="00C97C63">
        <w:rPr>
          <w:lang w:val="ro-MD" w:eastAsia="ro-MD"/>
        </w:rPr>
        <w:t xml:space="preserve">1) cuantumurile expunerilor ponderate la riscul de credit, inclusiv riscul de credit al </w:t>
      </w:r>
      <w:proofErr w:type="spellStart"/>
      <w:r w:rsidRPr="00C97C63">
        <w:rPr>
          <w:lang w:val="ro-MD" w:eastAsia="ro-MD"/>
        </w:rPr>
        <w:t>contrapărții</w:t>
      </w:r>
      <w:proofErr w:type="spellEnd"/>
      <w:r w:rsidRPr="00C97C63">
        <w:rPr>
          <w:lang w:val="ro-MD" w:eastAsia="ro-MD"/>
        </w:rPr>
        <w:t xml:space="preserve">, și pentru riscul de diminuare a valorii creanței și tranzacțiile incomplete calculate în conformitate cu Regulamentul nr.111/2018, actul normativ al Băncii Naționale a Moldovei aferent tratamentului riscului de credit potrivit abordării bazate pe modele interne de rating, Regulamentul cu privire la tratamentul riscului de credit al </w:t>
      </w:r>
      <w:proofErr w:type="spellStart"/>
      <w:r w:rsidRPr="00C97C63">
        <w:rPr>
          <w:lang w:val="ro-MD" w:eastAsia="ro-MD"/>
        </w:rPr>
        <w:t>contrapărții</w:t>
      </w:r>
      <w:proofErr w:type="spellEnd"/>
      <w:r w:rsidRPr="00C97C63">
        <w:rPr>
          <w:lang w:val="ro-MD" w:eastAsia="ro-MD"/>
        </w:rPr>
        <w:t xml:space="preserve"> pentru bănci, aprobat prin Hotărârea Comitetului executiv al Băncii Naționale a Moldovei nr.</w:t>
      </w:r>
      <w:r w:rsidR="00463363">
        <w:rPr>
          <w:lang w:val="ro-MD" w:eastAsia="ro-MD"/>
        </w:rPr>
        <w:t>220/2025</w:t>
      </w:r>
      <w:r w:rsidRPr="00C97C63">
        <w:rPr>
          <w:lang w:val="ro-MD" w:eastAsia="ro-MD"/>
        </w:rPr>
        <w:t xml:space="preserve"> </w:t>
      </w:r>
      <w:r w:rsidR="00463363">
        <w:rPr>
          <w:lang w:val="ro-MD" w:eastAsia="ro-MD"/>
        </w:rPr>
        <w:t xml:space="preserve">(în continuare – Regulamentul nr.220/2025) </w:t>
      </w:r>
      <w:r w:rsidRPr="00C97C63">
        <w:rPr>
          <w:lang w:val="ro-MD" w:eastAsia="ro-MD"/>
        </w:rPr>
        <w:t xml:space="preserve">și Regulamentul nr.115/2018, în ceea ce privește toate activitățile unei bănci, excluzând cuantumurile ponderate la risc ale expunerilor din portofoliul de tranzacționare al băncii; </w:t>
      </w:r>
    </w:p>
    <w:p w14:paraId="08931725" w14:textId="2FC04EBE" w:rsidR="00C97C63" w:rsidRPr="00C97C63" w:rsidRDefault="00C97C63" w:rsidP="00C97C63">
      <w:pPr>
        <w:jc w:val="both"/>
        <w:rPr>
          <w:lang w:val="ro-MD" w:eastAsia="ro-MD"/>
        </w:rPr>
      </w:pPr>
      <w:r w:rsidRPr="00C97C63">
        <w:rPr>
          <w:lang w:val="ro-MD" w:eastAsia="ro-MD"/>
        </w:rPr>
        <w:t>2) cerințele de fonduri proprii aplicabile portofoliului de tranzacționare al unei bănci, pentru riscul de piață, determinate în conformitate cu Regulamentul nr.114/2018 și Regulamentul cu privire la expunerile mari, aprobat prin Hotărârea Comitetului executiv al Băncii Naționale a Moldovei nr.109/2019 (în continuare - Regulamentul nr.109/2019), pentru expunerile mari care depășesc limitele stabilite prin Regulamentul nr.109/2019, în măsura în care o bancă poate să depășească limitele respective în condițiile acestuia;</w:t>
      </w:r>
    </w:p>
    <w:p w14:paraId="0DEB9C18" w14:textId="4AE6D3B3" w:rsidR="00C97C63" w:rsidRPr="00C97C63" w:rsidRDefault="00C97C63" w:rsidP="00C97C63">
      <w:pPr>
        <w:jc w:val="both"/>
        <w:rPr>
          <w:lang w:val="ro-MD" w:eastAsia="ro-MD"/>
        </w:rPr>
      </w:pPr>
      <w:r w:rsidRPr="00C97C63">
        <w:rPr>
          <w:lang w:val="ro-MD" w:eastAsia="ro-MD"/>
        </w:rPr>
        <w:t>3) cerințele de fonduri proprii pentru riscul valutar și riscul de marfă, determinate în conformitate cu Regulamentul nr.114/2018;</w:t>
      </w:r>
    </w:p>
    <w:p w14:paraId="22D005CC" w14:textId="47CDA7CC" w:rsidR="00C97C63" w:rsidRPr="00C97C63" w:rsidRDefault="00FD1059" w:rsidP="00C97C63">
      <w:pPr>
        <w:jc w:val="both"/>
        <w:rPr>
          <w:lang w:val="ro-MD" w:eastAsia="ro-MD"/>
        </w:rPr>
      </w:pPr>
      <w:r>
        <w:rPr>
          <w:lang w:val="ro-MD" w:eastAsia="ro-MD"/>
        </w:rPr>
        <w:t>4</w:t>
      </w:r>
      <w:r w:rsidR="00C97C63" w:rsidRPr="00C97C63">
        <w:rPr>
          <w:lang w:val="ro-MD" w:eastAsia="ro-MD"/>
        </w:rPr>
        <w:t>) cerințele de fonduri proprii pentru riscul de decontare, determinate în conformitate cu Regulamentul nr.115/2018;</w:t>
      </w:r>
      <w:r w:rsidR="00C97C63" w:rsidRPr="00C97C63">
        <w:rPr>
          <w:sz w:val="18"/>
          <w:szCs w:val="18"/>
          <w:highlight w:val="lightGray"/>
          <w:lang w:val="ro-MD" w:eastAsia="ro-MD"/>
        </w:rPr>
        <w:t xml:space="preserve"> </w:t>
      </w:r>
    </w:p>
    <w:p w14:paraId="217B205E" w14:textId="088DF956" w:rsidR="00C97C63" w:rsidRPr="00C97C63" w:rsidRDefault="00FD1059" w:rsidP="00C97C63">
      <w:pPr>
        <w:jc w:val="both"/>
        <w:rPr>
          <w:lang w:val="ro-MD" w:eastAsia="ro-MD"/>
        </w:rPr>
      </w:pPr>
      <w:r>
        <w:rPr>
          <w:lang w:val="ro-MD" w:eastAsia="ro-MD"/>
        </w:rPr>
        <w:t>5</w:t>
      </w:r>
      <w:r w:rsidR="00C97C63" w:rsidRPr="00C97C63">
        <w:rPr>
          <w:lang w:val="ro-MD" w:eastAsia="ro-MD"/>
        </w:rPr>
        <w:t xml:space="preserve">) cerințele de fonduri proprii pentru riscul operațional, determinate în conformitate cu Regulamentul </w:t>
      </w:r>
      <w:r w:rsidR="00E9221D" w:rsidRPr="00E9221D">
        <w:rPr>
          <w:lang w:val="ro-MD" w:eastAsia="ro-MD"/>
        </w:rPr>
        <w:t xml:space="preserve">privind cerința de fonduri proprii pentru </w:t>
      </w:r>
      <w:r w:rsidR="00C97C63" w:rsidRPr="00C97C63">
        <w:rPr>
          <w:lang w:val="ro-MD" w:eastAsia="ro-MD"/>
        </w:rPr>
        <w:t>riscul operațional pentru bănci potrivit abordării de bază și abordării standardizate, aprobat prin Hotărârea Comitetului executiv al Băncii Naționale a Moldovei nr.</w:t>
      </w:r>
      <w:r w:rsidR="00DB5178" w:rsidRPr="00E9221D">
        <w:rPr>
          <w:lang w:val="ro-MD" w:eastAsia="ro-MD"/>
        </w:rPr>
        <w:t>311/2025</w:t>
      </w:r>
      <w:r w:rsidR="00C97C63" w:rsidRPr="00C97C63">
        <w:rPr>
          <w:lang w:val="ro-MD" w:eastAsia="ro-MD"/>
        </w:rPr>
        <w:t>;</w:t>
      </w:r>
      <w:r w:rsidR="00C97C63" w:rsidRPr="00C97C63">
        <w:rPr>
          <w:sz w:val="18"/>
          <w:szCs w:val="18"/>
          <w:highlight w:val="lightGray"/>
          <w:lang w:val="ro-MD" w:eastAsia="ro-MD"/>
        </w:rPr>
        <w:t xml:space="preserve"> </w:t>
      </w:r>
    </w:p>
    <w:p w14:paraId="0B95694A" w14:textId="49A30C2B" w:rsidR="00C97C63" w:rsidRPr="00C97C63" w:rsidRDefault="00FD1059" w:rsidP="00C97C63">
      <w:pPr>
        <w:jc w:val="both"/>
        <w:rPr>
          <w:lang w:val="ro-MD" w:eastAsia="ro-MD"/>
        </w:rPr>
      </w:pPr>
      <w:r>
        <w:rPr>
          <w:lang w:val="ro-MD" w:eastAsia="ro-MD"/>
        </w:rPr>
        <w:t>6</w:t>
      </w:r>
      <w:r w:rsidR="00C97C63" w:rsidRPr="00C97C63">
        <w:rPr>
          <w:lang w:val="ro-MD" w:eastAsia="ro-MD"/>
        </w:rPr>
        <w:t>) cerințele de fonduri proprii pentru riscul de ajustare a evaluării creditului, calculate în conformitate cu Regulamentul cu privire la tratamentul riscului de ajustare a evaluării creditului pentru bănci, aprobat prin Hotărârea Comitetului executiv al Băncii Naționale a Moldovei nr.103/2020;</w:t>
      </w:r>
      <w:r w:rsidR="00C97C63" w:rsidRPr="00C97C63">
        <w:rPr>
          <w:sz w:val="18"/>
          <w:szCs w:val="18"/>
          <w:highlight w:val="lightGray"/>
          <w:lang w:val="ro-MD" w:eastAsia="ro-MD"/>
        </w:rPr>
        <w:t xml:space="preserve"> </w:t>
      </w:r>
    </w:p>
    <w:p w14:paraId="76220852" w14:textId="726E13AF" w:rsidR="00C97C63" w:rsidRDefault="00FD1059" w:rsidP="00C97C63">
      <w:pPr>
        <w:jc w:val="both"/>
        <w:rPr>
          <w:lang w:val="ro-MD" w:eastAsia="ro-MD"/>
        </w:rPr>
      </w:pPr>
      <w:r>
        <w:rPr>
          <w:lang w:val="ro-MD" w:eastAsia="ro-MD"/>
        </w:rPr>
        <w:t>7</w:t>
      </w:r>
      <w:r w:rsidR="00C97C63" w:rsidRPr="00C97C63">
        <w:rPr>
          <w:lang w:val="ro-MD" w:eastAsia="ro-MD"/>
        </w:rPr>
        <w:t>) cuantumurile ponderate la risc ale expunerilor determinate în conformitate cu Regulamentul nr.</w:t>
      </w:r>
      <w:r w:rsidR="00463363">
        <w:rPr>
          <w:lang w:val="ro-MD" w:eastAsia="ro-MD"/>
        </w:rPr>
        <w:t>220/2025</w:t>
      </w:r>
      <w:r w:rsidR="00C97C63" w:rsidRPr="00C97C63">
        <w:rPr>
          <w:lang w:val="ro-MD" w:eastAsia="ro-MD"/>
        </w:rPr>
        <w:t xml:space="preserve">, pentru riscul </w:t>
      </w:r>
      <w:proofErr w:type="spellStart"/>
      <w:r w:rsidR="00C97C63" w:rsidRPr="00C97C63">
        <w:rPr>
          <w:lang w:val="ro-MD" w:eastAsia="ro-MD"/>
        </w:rPr>
        <w:t>contrapărții</w:t>
      </w:r>
      <w:proofErr w:type="spellEnd"/>
      <w:r w:rsidR="00C97C63" w:rsidRPr="00C97C63">
        <w:rPr>
          <w:lang w:val="ro-MD" w:eastAsia="ro-MD"/>
        </w:rPr>
        <w:t xml:space="preserve"> care decurge din portofoliul de tranzacționare al băncii pentru contractele enumerate în anexa nr.1 la Regulamentul nr.114/2018 și instrumente financiare derivate de credit, tranzacțiile de răscumpărare, operațiunile de dare sau luare de titluri de valoare sau mărfuri cu împrumut</w:t>
      </w:r>
      <w:r w:rsidR="00C97C63" w:rsidRPr="00C97C63">
        <w:rPr>
          <w:rFonts w:ascii="Calibri" w:eastAsia="Calibri" w:hAnsi="Calibri"/>
          <w:kern w:val="2"/>
          <w:sz w:val="22"/>
          <w:szCs w:val="22"/>
          <w:lang w:val="ro-MD"/>
          <w14:ligatures w14:val="standardContextual"/>
        </w:rPr>
        <w:t xml:space="preserve"> </w:t>
      </w:r>
      <w:r w:rsidR="00C97C63" w:rsidRPr="00C97C63">
        <w:rPr>
          <w:lang w:val="ro-MD" w:eastAsia="ro-MD"/>
        </w:rPr>
        <w:t>pe bază de titluri de valoare sau mărfuri, tranzacții de creditare în marjă pe bază de titluri de valoare sau mărfuri și tranzacțiile cu termen lung de decontare.</w:t>
      </w:r>
      <w:r w:rsidR="00C97C63">
        <w:rPr>
          <w:lang w:val="ro-MD" w:eastAsia="ro-MD"/>
        </w:rPr>
        <w:t>”.</w:t>
      </w:r>
    </w:p>
    <w:p w14:paraId="0724255A" w14:textId="158A3828" w:rsidR="00C97C63" w:rsidRDefault="00C97C63" w:rsidP="00EC0988">
      <w:pPr>
        <w:pStyle w:val="ListParagraph"/>
        <w:numPr>
          <w:ilvl w:val="1"/>
          <w:numId w:val="27"/>
        </w:numPr>
        <w:spacing w:before="80"/>
        <w:ind w:left="0" w:firstLine="567"/>
        <w:contextualSpacing w:val="0"/>
        <w:jc w:val="both"/>
        <w:rPr>
          <w:lang w:val="ro-MD" w:eastAsia="ro-MD"/>
        </w:rPr>
      </w:pPr>
      <w:r>
        <w:rPr>
          <w:lang w:val="ro-MD" w:eastAsia="ro-MD"/>
        </w:rPr>
        <w:t>Se completează cu punctul 132</w:t>
      </w:r>
      <w:r>
        <w:rPr>
          <w:vertAlign w:val="superscript"/>
          <w:lang w:val="ro-MD" w:eastAsia="ro-MD"/>
        </w:rPr>
        <w:t>1</w:t>
      </w:r>
      <w:r>
        <w:rPr>
          <w:lang w:val="ro-MD" w:eastAsia="ro-MD"/>
        </w:rPr>
        <w:t xml:space="preserve"> cu următorul cuprins:</w:t>
      </w:r>
    </w:p>
    <w:p w14:paraId="2C41D7A5" w14:textId="4BE601EC" w:rsidR="00C97C63" w:rsidRPr="00C97C63" w:rsidRDefault="00C97C63" w:rsidP="00C97C63">
      <w:pPr>
        <w:jc w:val="both"/>
        <w:rPr>
          <w:lang w:val="ro-MD" w:eastAsia="ro-MD"/>
        </w:rPr>
      </w:pPr>
      <w:r>
        <w:rPr>
          <w:lang w:val="ro-MD" w:eastAsia="ro-MD"/>
        </w:rPr>
        <w:t>„</w:t>
      </w:r>
      <w:r w:rsidRPr="00C97C63">
        <w:rPr>
          <w:b/>
          <w:bCs/>
          <w:lang w:val="ro-MD" w:eastAsia="ro-MD"/>
        </w:rPr>
        <w:t>132</w:t>
      </w:r>
      <w:r w:rsidRPr="00C97C63">
        <w:rPr>
          <w:b/>
          <w:bCs/>
          <w:vertAlign w:val="superscript"/>
          <w:lang w:val="ro-MD" w:eastAsia="ro-MD"/>
        </w:rPr>
        <w:t>1</w:t>
      </w:r>
      <w:r w:rsidRPr="00C97C63">
        <w:rPr>
          <w:b/>
          <w:bCs/>
          <w:lang w:val="ro-MD" w:eastAsia="ro-MD"/>
        </w:rPr>
        <w:t>.</w:t>
      </w:r>
      <w:r w:rsidRPr="00C97C63">
        <w:rPr>
          <w:lang w:val="ro-MD" w:eastAsia="ro-MD"/>
        </w:rPr>
        <w:t xml:space="preserve"> Cuantumul total al expunerii la risc</w:t>
      </w:r>
      <w:r w:rsidR="00BE68E3">
        <w:rPr>
          <w:lang w:val="ro-MD" w:eastAsia="ro-MD"/>
        </w:rPr>
        <w:t xml:space="preserve"> </w:t>
      </w:r>
      <w:r w:rsidRPr="00C97C63">
        <w:rPr>
          <w:lang w:val="ro-MD" w:eastAsia="ro-MD"/>
        </w:rPr>
        <w:t>conform abordărilor standardizate se calculează ca suma subpunctelor 1)-</w:t>
      </w:r>
      <w:r w:rsidR="00DB5178">
        <w:rPr>
          <w:lang w:val="ro-MD" w:eastAsia="ro-MD"/>
        </w:rPr>
        <w:t>7</w:t>
      </w:r>
      <w:r w:rsidRPr="00C97C63">
        <w:rPr>
          <w:lang w:val="ro-MD" w:eastAsia="ro-MD"/>
        </w:rPr>
        <w:t xml:space="preserve">) de la punctul 132, după luarea în considerare a dispozițiilor prevăzute la punctul 133. În acest sens, cuantumurile ponderate la risc ale expunerilor pentru riscul de credit, inclusiv riscul de credit al </w:t>
      </w:r>
      <w:proofErr w:type="spellStart"/>
      <w:r w:rsidRPr="00C97C63">
        <w:rPr>
          <w:lang w:val="ro-MD" w:eastAsia="ro-MD"/>
        </w:rPr>
        <w:t>contrapărții</w:t>
      </w:r>
      <w:proofErr w:type="spellEnd"/>
      <w:r w:rsidRPr="00C97C63">
        <w:rPr>
          <w:lang w:val="ro-MD" w:eastAsia="ro-MD"/>
        </w:rPr>
        <w:t xml:space="preserve">, și pentru riscul de diminuare a valorii creanței, menționate la punctul 132 subpunctul 1), precum și pentru riscul de credit al </w:t>
      </w:r>
      <w:proofErr w:type="spellStart"/>
      <w:r w:rsidRPr="00C97C63">
        <w:rPr>
          <w:lang w:val="ro-MD" w:eastAsia="ro-MD"/>
        </w:rPr>
        <w:t>contrapărții</w:t>
      </w:r>
      <w:proofErr w:type="spellEnd"/>
      <w:r w:rsidRPr="00C97C63">
        <w:rPr>
          <w:lang w:val="ro-MD" w:eastAsia="ro-MD"/>
        </w:rPr>
        <w:t xml:space="preserve"> care decurge din portofoliul de tranzacționare menționat la punctul 132, subpunctul </w:t>
      </w:r>
      <w:r w:rsidR="00DB5178">
        <w:rPr>
          <w:lang w:val="ro-MD" w:eastAsia="ro-MD"/>
        </w:rPr>
        <w:t>7</w:t>
      </w:r>
      <w:r w:rsidRPr="00C97C63">
        <w:rPr>
          <w:lang w:val="ro-MD" w:eastAsia="ro-MD"/>
        </w:rPr>
        <w:t xml:space="preserve">), se calculează fără a se utiliza </w:t>
      </w:r>
      <w:r w:rsidR="00EF40BD">
        <w:rPr>
          <w:lang w:val="ro-MD" w:eastAsia="ro-MD"/>
        </w:rPr>
        <w:t>vreuna</w:t>
      </w:r>
      <w:r w:rsidR="00EF40BD" w:rsidRPr="00C97C63">
        <w:rPr>
          <w:lang w:val="ro-MD" w:eastAsia="ro-MD"/>
        </w:rPr>
        <w:t xml:space="preserve"> </w:t>
      </w:r>
      <w:r w:rsidRPr="00C97C63">
        <w:rPr>
          <w:lang w:val="ro-MD" w:eastAsia="ro-MD"/>
        </w:rPr>
        <w:t>dintre următoarele abordări:</w:t>
      </w:r>
    </w:p>
    <w:p w14:paraId="74FA9C58" w14:textId="51E49971" w:rsidR="00C97C63" w:rsidRPr="00C97C63" w:rsidRDefault="00993D84" w:rsidP="00C97C63">
      <w:pPr>
        <w:jc w:val="both"/>
        <w:rPr>
          <w:lang w:val="ro-MD" w:eastAsia="ro-MD"/>
        </w:rPr>
      </w:pPr>
      <w:r>
        <w:rPr>
          <w:lang w:val="ro-MD" w:eastAsia="ro-MD"/>
        </w:rPr>
        <w:t>1</w:t>
      </w:r>
      <w:r w:rsidR="00C97C63" w:rsidRPr="00C97C63">
        <w:rPr>
          <w:lang w:val="ro-MD" w:eastAsia="ro-MD"/>
        </w:rPr>
        <w:t>) abordarea bazată pe modele interne pentru acordurile-cadru de compensare;</w:t>
      </w:r>
    </w:p>
    <w:p w14:paraId="421BFB87" w14:textId="49DF74AB" w:rsidR="00C97C63" w:rsidRDefault="00993D84" w:rsidP="00C97C63">
      <w:pPr>
        <w:jc w:val="both"/>
        <w:rPr>
          <w:lang w:val="ro-MD" w:eastAsia="ro-MD"/>
        </w:rPr>
      </w:pPr>
      <w:r>
        <w:rPr>
          <w:lang w:val="ro-MD" w:eastAsia="ro-MD"/>
        </w:rPr>
        <w:lastRenderedPageBreak/>
        <w:t>2</w:t>
      </w:r>
      <w:r w:rsidR="00C97C63" w:rsidRPr="00C97C63">
        <w:rPr>
          <w:lang w:val="ro-MD" w:eastAsia="ro-MD"/>
        </w:rPr>
        <w:t>) abordarea bazată pe modele interne de rating conform actului normativ al Băncii Naționale a Moldovei aferent tratamentului riscului de credit potrivit abordării bazate pe modele interne de rating.</w:t>
      </w:r>
      <w:r w:rsidR="00C97C63">
        <w:rPr>
          <w:lang w:val="ro-MD" w:eastAsia="ro-MD"/>
        </w:rPr>
        <w:t>”.</w:t>
      </w:r>
    </w:p>
    <w:p w14:paraId="4129571B" w14:textId="7132F1A1" w:rsidR="001D6E69" w:rsidRDefault="001D6E69" w:rsidP="00EC0988">
      <w:pPr>
        <w:pStyle w:val="ListParagraph"/>
        <w:numPr>
          <w:ilvl w:val="1"/>
          <w:numId w:val="27"/>
        </w:numPr>
        <w:spacing w:before="80"/>
        <w:ind w:left="788" w:hanging="221"/>
        <w:contextualSpacing w:val="0"/>
        <w:jc w:val="both"/>
        <w:rPr>
          <w:lang w:val="ro-MD" w:eastAsia="ro-MD"/>
        </w:rPr>
      </w:pPr>
      <w:r>
        <w:rPr>
          <w:lang w:val="ro-MD" w:eastAsia="ro-MD"/>
        </w:rPr>
        <w:t>La punctul 133:</w:t>
      </w:r>
    </w:p>
    <w:p w14:paraId="26D497F6" w14:textId="1FE079D1" w:rsidR="001D6E69" w:rsidRDefault="001D6E69" w:rsidP="00C936FF">
      <w:pPr>
        <w:pStyle w:val="ListParagraph"/>
        <w:numPr>
          <w:ilvl w:val="2"/>
          <w:numId w:val="27"/>
        </w:numPr>
        <w:ind w:left="0" w:firstLine="567"/>
        <w:jc w:val="both"/>
        <w:rPr>
          <w:lang w:val="ro-MD" w:eastAsia="ro-MD"/>
        </w:rPr>
      </w:pPr>
      <w:r>
        <w:rPr>
          <w:lang w:val="ro-MD" w:eastAsia="ro-MD"/>
        </w:rPr>
        <w:t xml:space="preserve">în </w:t>
      </w:r>
      <w:r w:rsidR="0099463F">
        <w:rPr>
          <w:lang w:val="ro-MD" w:eastAsia="ro-MD"/>
        </w:rPr>
        <w:t>alineatul introductiv</w:t>
      </w:r>
      <w:r w:rsidR="00993D84">
        <w:rPr>
          <w:lang w:val="ro-MD" w:eastAsia="ro-MD"/>
        </w:rPr>
        <w:t>,</w:t>
      </w:r>
      <w:r>
        <w:rPr>
          <w:lang w:val="ro-MD" w:eastAsia="ro-MD"/>
        </w:rPr>
        <w:t xml:space="preserve"> textul „</w:t>
      </w:r>
      <w:r w:rsidRPr="001D6E69">
        <w:rPr>
          <w:lang w:val="ro-MD" w:eastAsia="ro-MD"/>
        </w:rPr>
        <w:t>menționat la punctul 132</w:t>
      </w:r>
      <w:r>
        <w:rPr>
          <w:lang w:val="ro-MD" w:eastAsia="ro-MD"/>
        </w:rPr>
        <w:t>.” se substituie cu textul „</w:t>
      </w:r>
      <w:r w:rsidRPr="001D6E69">
        <w:rPr>
          <w:lang w:val="ro-MD" w:eastAsia="ro-MD"/>
        </w:rPr>
        <w:t xml:space="preserve">fără aplicarea pragului minim, </w:t>
      </w:r>
      <w:bookmarkStart w:id="19" w:name="_Hlk206774515"/>
      <w:r w:rsidRPr="001D6E69">
        <w:rPr>
          <w:lang w:val="ro-MD" w:eastAsia="ro-MD"/>
        </w:rPr>
        <w:t>menționat la punctul 132</w:t>
      </w:r>
      <w:bookmarkEnd w:id="19"/>
      <w:r w:rsidRPr="001D6E69">
        <w:rPr>
          <w:lang w:val="ro-MD" w:eastAsia="ro-MD"/>
        </w:rPr>
        <w:t>, și a cuantumului total al expunerii la risc conform abordărilor standardizate, menționat la punctul 132</w:t>
      </w:r>
      <w:r w:rsidRPr="001D6E69">
        <w:rPr>
          <w:vertAlign w:val="superscript"/>
          <w:lang w:val="ro-MD" w:eastAsia="ro-MD"/>
        </w:rPr>
        <w:t>1</w:t>
      </w:r>
      <w:r w:rsidRPr="001D6E69">
        <w:rPr>
          <w:lang w:val="ro-MD" w:eastAsia="ro-MD"/>
        </w:rPr>
        <w:t>:</w:t>
      </w:r>
      <w:r>
        <w:rPr>
          <w:lang w:val="ro-MD" w:eastAsia="ro-MD"/>
        </w:rPr>
        <w:t>”;</w:t>
      </w:r>
    </w:p>
    <w:p w14:paraId="5AC41C70" w14:textId="1C8B9E30" w:rsidR="00AF413A" w:rsidRDefault="00993D84" w:rsidP="00C936FF">
      <w:pPr>
        <w:pStyle w:val="ListParagraph"/>
        <w:numPr>
          <w:ilvl w:val="2"/>
          <w:numId w:val="27"/>
        </w:numPr>
        <w:ind w:left="0" w:firstLine="567"/>
        <w:jc w:val="both"/>
        <w:rPr>
          <w:lang w:val="ro-MD" w:eastAsia="ro-MD"/>
        </w:rPr>
      </w:pPr>
      <w:r>
        <w:rPr>
          <w:lang w:val="ro-MD" w:eastAsia="ro-MD"/>
        </w:rPr>
        <w:t>la</w:t>
      </w:r>
      <w:r w:rsidR="001D6E69">
        <w:rPr>
          <w:lang w:val="ro-MD" w:eastAsia="ro-MD"/>
        </w:rPr>
        <w:t xml:space="preserve"> subpunctul 1)</w:t>
      </w:r>
      <w:r>
        <w:rPr>
          <w:lang w:val="ro-MD" w:eastAsia="ro-MD"/>
        </w:rPr>
        <w:t>,</w:t>
      </w:r>
      <w:r w:rsidR="001D6E69">
        <w:rPr>
          <w:lang w:val="ro-MD" w:eastAsia="ro-MD"/>
        </w:rPr>
        <w:t xml:space="preserve"> textul</w:t>
      </w:r>
      <w:r w:rsidR="00293D86">
        <w:rPr>
          <w:lang w:val="ro-MD" w:eastAsia="ro-MD"/>
        </w:rPr>
        <w:t xml:space="preserve"> „</w:t>
      </w:r>
      <w:r w:rsidR="00293D86" w:rsidRPr="00293D86">
        <w:rPr>
          <w:lang w:val="ro-MD" w:eastAsia="ro-MD"/>
        </w:rPr>
        <w:t xml:space="preserve">3) </w:t>
      </w:r>
      <w:proofErr w:type="spellStart"/>
      <w:r w:rsidR="00293D86" w:rsidRPr="00293D86">
        <w:rPr>
          <w:lang w:val="ro-MD" w:eastAsia="ro-MD"/>
        </w:rPr>
        <w:t>şi</w:t>
      </w:r>
      <w:proofErr w:type="spellEnd"/>
      <w:r w:rsidR="00293D86" w:rsidRPr="00293D86">
        <w:rPr>
          <w:lang w:val="ro-MD" w:eastAsia="ro-MD"/>
        </w:rPr>
        <w:t xml:space="preserve"> 4)</w:t>
      </w:r>
      <w:r w:rsidR="00293D86">
        <w:rPr>
          <w:lang w:val="ro-MD" w:eastAsia="ro-MD"/>
        </w:rPr>
        <w:t>” se substituie cu textul „3</w:t>
      </w:r>
      <w:r w:rsidR="00293D86">
        <w:rPr>
          <w:vertAlign w:val="superscript"/>
          <w:lang w:val="ro-MD" w:eastAsia="ro-MD"/>
        </w:rPr>
        <w:t>1</w:t>
      </w:r>
      <w:r w:rsidR="00293D86">
        <w:rPr>
          <w:lang w:val="ro-MD" w:eastAsia="ro-MD"/>
        </w:rPr>
        <w:t xml:space="preserve">) </w:t>
      </w:r>
      <w:r w:rsidR="00AF413A">
        <w:rPr>
          <w:lang w:val="ro-MD" w:eastAsia="ro-MD"/>
        </w:rPr>
        <w:t>– 5)”.</w:t>
      </w:r>
    </w:p>
    <w:p w14:paraId="4900BBEC" w14:textId="5D75948E" w:rsidR="00AF413A" w:rsidRDefault="00AF413A" w:rsidP="009F684C">
      <w:pPr>
        <w:pStyle w:val="ListParagraph"/>
        <w:numPr>
          <w:ilvl w:val="1"/>
          <w:numId w:val="27"/>
        </w:numPr>
        <w:ind w:left="0" w:firstLine="567"/>
        <w:jc w:val="both"/>
        <w:rPr>
          <w:lang w:val="ro-MD" w:eastAsia="ro-MD"/>
        </w:rPr>
      </w:pPr>
      <w:r>
        <w:rPr>
          <w:lang w:val="ro-MD" w:eastAsia="ro-MD"/>
        </w:rPr>
        <w:t>Punctul 135 va avea următorul cuprins:</w:t>
      </w:r>
    </w:p>
    <w:p w14:paraId="40405993" w14:textId="334057A7" w:rsidR="00AF413A" w:rsidRPr="00AF413A" w:rsidRDefault="00AF413A" w:rsidP="00AF413A">
      <w:pPr>
        <w:jc w:val="both"/>
        <w:rPr>
          <w:lang w:val="ro-MD" w:eastAsia="ro-MD"/>
        </w:rPr>
      </w:pPr>
      <w:r>
        <w:rPr>
          <w:lang w:val="ro-MD" w:eastAsia="ro-MD"/>
        </w:rPr>
        <w:t>„</w:t>
      </w:r>
      <w:r w:rsidRPr="00AF413A">
        <w:rPr>
          <w:b/>
          <w:bCs/>
          <w:lang w:val="ro-MD" w:eastAsia="ro-MD"/>
        </w:rPr>
        <w:t>135.</w:t>
      </w:r>
      <w:r w:rsidRPr="00AF413A">
        <w:rPr>
          <w:lang w:val="ro-MD" w:eastAsia="ro-MD"/>
        </w:rPr>
        <w:t xml:space="preserve"> Băncile pot înlocui cerința de capital menționată la punctul 132 subpunctul 2) cu o cerință de capital calculată în conformitate cu punct 135</w:t>
      </w:r>
      <w:r w:rsidRPr="00AF413A">
        <w:rPr>
          <w:vertAlign w:val="superscript"/>
          <w:lang w:val="ro-MD" w:eastAsia="ro-MD"/>
        </w:rPr>
        <w:t>1</w:t>
      </w:r>
      <w:r w:rsidRPr="00AF413A">
        <w:rPr>
          <w:lang w:val="ro-MD" w:eastAsia="ro-MD"/>
        </w:rPr>
        <w:t xml:space="preserve"> în ceea ce privește activitățile legate de portofoliul de tranzacționare, cu condiția ca  volumul operațiunilor bilanțiere și </w:t>
      </w:r>
      <w:proofErr w:type="spellStart"/>
      <w:r w:rsidRPr="00AF413A">
        <w:rPr>
          <w:lang w:val="ro-MD" w:eastAsia="ro-MD"/>
        </w:rPr>
        <w:t>extrabilanțiere</w:t>
      </w:r>
      <w:proofErr w:type="spellEnd"/>
      <w:r w:rsidRPr="00AF413A">
        <w:rPr>
          <w:lang w:val="ro-MD" w:eastAsia="ro-MD"/>
        </w:rPr>
        <w:t xml:space="preserve"> legate de portofoliul de tranzacționare să fie mai mic sau egal cu </w:t>
      </w:r>
      <w:r w:rsidR="006924CC">
        <w:rPr>
          <w:lang w:val="ro-MD" w:eastAsia="ro-MD"/>
        </w:rPr>
        <w:t xml:space="preserve">următoarele praguri, </w:t>
      </w:r>
      <w:r w:rsidR="006924CC" w:rsidRPr="00AF413A">
        <w:rPr>
          <w:lang w:val="ro-MD" w:eastAsia="ro-MD"/>
        </w:rPr>
        <w:t>pe baza unei evaluări realizate lunar utilizând datele din ultima zi a lunii respective</w:t>
      </w:r>
      <w:r w:rsidR="006924CC">
        <w:rPr>
          <w:lang w:val="ro-MD" w:eastAsia="ro-MD"/>
        </w:rPr>
        <w:t>:</w:t>
      </w:r>
    </w:p>
    <w:p w14:paraId="28768356" w14:textId="3BF67204" w:rsidR="006924CC" w:rsidRDefault="006924CC" w:rsidP="00AF413A">
      <w:pPr>
        <w:jc w:val="both"/>
        <w:rPr>
          <w:lang w:val="ro-MD" w:eastAsia="ro-MD"/>
        </w:rPr>
      </w:pPr>
      <w:r>
        <w:rPr>
          <w:lang w:val="ro-MD" w:eastAsia="ro-MD"/>
        </w:rPr>
        <w:t xml:space="preserve">1) </w:t>
      </w:r>
      <w:r w:rsidR="00AF413A" w:rsidRPr="00AF413A">
        <w:rPr>
          <w:lang w:val="ro-MD" w:eastAsia="ro-MD"/>
        </w:rPr>
        <w:t>5% din activel</w:t>
      </w:r>
      <w:r>
        <w:rPr>
          <w:lang w:val="ro-MD" w:eastAsia="ro-MD"/>
        </w:rPr>
        <w:t>e totale ale băncii;</w:t>
      </w:r>
    </w:p>
    <w:p w14:paraId="5D9024EB" w14:textId="7F04A276" w:rsidR="00AF413A" w:rsidRDefault="006924CC" w:rsidP="00AF413A">
      <w:pPr>
        <w:jc w:val="both"/>
        <w:rPr>
          <w:lang w:val="ro-MD" w:eastAsia="ro-MD"/>
        </w:rPr>
      </w:pPr>
      <w:r>
        <w:rPr>
          <w:lang w:val="ro-MD" w:eastAsia="ro-MD"/>
        </w:rPr>
        <w:t>2)</w:t>
      </w:r>
      <w:r w:rsidR="00AF413A" w:rsidRPr="00AF413A">
        <w:rPr>
          <w:lang w:val="ro-MD" w:eastAsia="ro-MD"/>
        </w:rPr>
        <w:t xml:space="preserve"> echivalentul în MDL a 50 milioane EUR.</w:t>
      </w:r>
      <w:r w:rsidR="00AF413A">
        <w:rPr>
          <w:lang w:val="ro-MD" w:eastAsia="ro-MD"/>
        </w:rPr>
        <w:t>”</w:t>
      </w:r>
      <w:r w:rsidR="00BE68E3">
        <w:rPr>
          <w:lang w:val="ro-MD" w:eastAsia="ro-MD"/>
        </w:rPr>
        <w:t>.</w:t>
      </w:r>
    </w:p>
    <w:p w14:paraId="74077278" w14:textId="239F5108" w:rsidR="00AF413A" w:rsidRDefault="00AF413A" w:rsidP="00C936FF">
      <w:pPr>
        <w:pStyle w:val="ListParagraph"/>
        <w:numPr>
          <w:ilvl w:val="1"/>
          <w:numId w:val="27"/>
        </w:numPr>
        <w:spacing w:before="80"/>
        <w:ind w:left="0" w:firstLine="567"/>
        <w:contextualSpacing w:val="0"/>
        <w:jc w:val="both"/>
        <w:rPr>
          <w:lang w:val="ro-MD" w:eastAsia="ro-MD"/>
        </w:rPr>
      </w:pPr>
      <w:r>
        <w:rPr>
          <w:lang w:val="ro-MD" w:eastAsia="ro-MD"/>
        </w:rPr>
        <w:t>Se completează cu punctul 135</w:t>
      </w:r>
      <w:r>
        <w:rPr>
          <w:vertAlign w:val="superscript"/>
          <w:lang w:val="ro-MD" w:eastAsia="ro-MD"/>
        </w:rPr>
        <w:t>1</w:t>
      </w:r>
      <w:r>
        <w:rPr>
          <w:lang w:val="ro-MD" w:eastAsia="ro-MD"/>
        </w:rPr>
        <w:t xml:space="preserve"> cu următorul cuprins:</w:t>
      </w:r>
    </w:p>
    <w:p w14:paraId="699A553A" w14:textId="77777777" w:rsidR="00AF413A" w:rsidRPr="00AF413A" w:rsidRDefault="00AF413A" w:rsidP="00AF413A">
      <w:pPr>
        <w:jc w:val="both"/>
        <w:rPr>
          <w:lang w:val="ro-MD" w:eastAsia="ro-MD"/>
        </w:rPr>
      </w:pPr>
      <w:r>
        <w:rPr>
          <w:lang w:val="ro-MD" w:eastAsia="ro-MD"/>
        </w:rPr>
        <w:t>„</w:t>
      </w:r>
      <w:r w:rsidRPr="00AF413A">
        <w:rPr>
          <w:b/>
          <w:bCs/>
          <w:lang w:val="ro-MD" w:eastAsia="ro-MD"/>
        </w:rPr>
        <w:t>135</w:t>
      </w:r>
      <w:r w:rsidRPr="00AF413A">
        <w:rPr>
          <w:b/>
          <w:bCs/>
          <w:vertAlign w:val="superscript"/>
          <w:lang w:val="ro-MD" w:eastAsia="ro-MD"/>
        </w:rPr>
        <w:t>1</w:t>
      </w:r>
      <w:r w:rsidRPr="00AF413A">
        <w:rPr>
          <w:b/>
          <w:bCs/>
          <w:lang w:val="ro-MD" w:eastAsia="ro-MD"/>
        </w:rPr>
        <w:t xml:space="preserve">. </w:t>
      </w:r>
      <w:r w:rsidRPr="00AF413A">
        <w:rPr>
          <w:lang w:val="ro-MD" w:eastAsia="ro-MD"/>
        </w:rPr>
        <w:t>Atunci când sunt îndeplinite ambele condiții stabilite la punctul 135, băncile pot calcula cerința de fonduri proprii pentru portofoliul de tranzacționare după cum urmează:</w:t>
      </w:r>
    </w:p>
    <w:p w14:paraId="60C4817D" w14:textId="6FD995CE" w:rsidR="00AF413A" w:rsidRPr="00AF413A" w:rsidRDefault="00AF413A" w:rsidP="00AF413A">
      <w:pPr>
        <w:jc w:val="both"/>
        <w:rPr>
          <w:lang w:val="ro-MD" w:eastAsia="ro-MD"/>
        </w:rPr>
      </w:pPr>
      <w:r w:rsidRPr="00AF413A">
        <w:rPr>
          <w:lang w:val="ro-MD" w:eastAsia="ro-MD"/>
        </w:rPr>
        <w:t>1) pentru contractele enumerate în anexa 1 punctul 1 din Regulamentul nr.114/2018, contractele referitoare la titluri de capital la care se face referire la punctul 3 din anexa respectivă și instrumentele financiare derivate de credit, instituțiile pot exclude pozițiile respective din cerința de fonduri proprii menționată la punctul 132 subpunctul 2);</w:t>
      </w:r>
    </w:p>
    <w:p w14:paraId="2BE71993" w14:textId="1B06A75E" w:rsidR="00AF413A" w:rsidRDefault="00AF413A" w:rsidP="00AF413A">
      <w:pPr>
        <w:jc w:val="both"/>
        <w:rPr>
          <w:lang w:val="ro-MD" w:eastAsia="ro-MD"/>
        </w:rPr>
      </w:pPr>
      <w:r w:rsidRPr="00AF413A">
        <w:rPr>
          <w:lang w:val="ro-MD" w:eastAsia="ro-MD"/>
        </w:rPr>
        <w:t>2) pentru pozițiile din portofoliul de tranzacționare, altele decât cele menționate la subpunctul 1), băncile pot înlocui cerința de fonduri proprii menționată la punctul 132 subpunctul 2) cu cerința calculată în conformitate cu punctul 132 subpunctul 1) și  punctul 132</w:t>
      </w:r>
      <w:r w:rsidRPr="00AF413A">
        <w:rPr>
          <w:vertAlign w:val="superscript"/>
          <w:lang w:val="ro-MD" w:eastAsia="ro-MD"/>
        </w:rPr>
        <w:t>1</w:t>
      </w:r>
      <w:r w:rsidRPr="00AF413A">
        <w:rPr>
          <w:lang w:val="ro-MD" w:eastAsia="ro-MD"/>
        </w:rPr>
        <w:t>.</w:t>
      </w:r>
      <w:r>
        <w:rPr>
          <w:lang w:val="ro-MD" w:eastAsia="ro-MD"/>
        </w:rPr>
        <w:t>”.</w:t>
      </w:r>
    </w:p>
    <w:p w14:paraId="335A4E84" w14:textId="0BF00CA6" w:rsidR="00543948" w:rsidRDefault="00543948" w:rsidP="00C936FF">
      <w:pPr>
        <w:pStyle w:val="ListParagraph"/>
        <w:numPr>
          <w:ilvl w:val="1"/>
          <w:numId w:val="27"/>
        </w:numPr>
        <w:spacing w:before="80"/>
        <w:ind w:left="0" w:firstLine="567"/>
        <w:contextualSpacing w:val="0"/>
        <w:jc w:val="both"/>
        <w:rPr>
          <w:lang w:val="ro-MD" w:eastAsia="ro-MD"/>
        </w:rPr>
      </w:pPr>
      <w:bookmarkStart w:id="20" w:name="_Hlk206776312"/>
      <w:r>
        <w:rPr>
          <w:lang w:val="ro-MD" w:eastAsia="ro-MD"/>
        </w:rPr>
        <w:t>Punctul 136 va avea următorul cuprins:</w:t>
      </w:r>
      <w:bookmarkEnd w:id="20"/>
    </w:p>
    <w:p w14:paraId="5FF7FB10" w14:textId="77777777" w:rsidR="00543948" w:rsidRPr="00543948" w:rsidRDefault="00543948" w:rsidP="00543948">
      <w:pPr>
        <w:jc w:val="both"/>
        <w:rPr>
          <w:lang w:val="ro-MD" w:eastAsia="ro-MD"/>
        </w:rPr>
      </w:pPr>
      <w:r>
        <w:rPr>
          <w:lang w:val="ro-MD" w:eastAsia="ro-MD"/>
        </w:rPr>
        <w:t>„</w:t>
      </w:r>
      <w:r w:rsidRPr="00543948">
        <w:rPr>
          <w:b/>
          <w:bCs/>
          <w:lang w:val="ro-MD" w:eastAsia="ro-MD"/>
        </w:rPr>
        <w:t>136.</w:t>
      </w:r>
      <w:r w:rsidRPr="00543948">
        <w:rPr>
          <w:lang w:val="ro-MD" w:eastAsia="ro-MD"/>
        </w:rPr>
        <w:t xml:space="preserve"> La evaluarea mărimii operațiunilor bilanțiere și </w:t>
      </w:r>
      <w:proofErr w:type="spellStart"/>
      <w:r w:rsidRPr="00543948">
        <w:rPr>
          <w:lang w:val="ro-MD" w:eastAsia="ro-MD"/>
        </w:rPr>
        <w:t>extrabilanțiere</w:t>
      </w:r>
      <w:proofErr w:type="spellEnd"/>
      <w:r w:rsidRPr="00543948">
        <w:rPr>
          <w:lang w:val="ro-MD" w:eastAsia="ro-MD"/>
        </w:rPr>
        <w:t>, băncile aplică următoarele cerințe:</w:t>
      </w:r>
    </w:p>
    <w:p w14:paraId="3301343B" w14:textId="2EF8D1DF" w:rsidR="00543948" w:rsidRPr="00543948" w:rsidRDefault="00872CBE" w:rsidP="00543948">
      <w:pPr>
        <w:jc w:val="both"/>
        <w:rPr>
          <w:lang w:val="ro-MD" w:eastAsia="ro-MD"/>
        </w:rPr>
      </w:pPr>
      <w:r>
        <w:rPr>
          <w:lang w:val="ro-MD" w:eastAsia="ro-MD"/>
        </w:rPr>
        <w:t>1</w:t>
      </w:r>
      <w:r w:rsidR="00543948" w:rsidRPr="00543948">
        <w:rPr>
          <w:lang w:val="ro-MD" w:eastAsia="ro-MD"/>
        </w:rPr>
        <w:t>) toate pozițiile atribuite portofoliului de tranzacționare în conformitate cu Regulamentul nr.114/2018 sunt incluse în calcul, cu excepția următoarelor:</w:t>
      </w:r>
    </w:p>
    <w:p w14:paraId="503D975F" w14:textId="77777777" w:rsidR="00543948" w:rsidRPr="00543948" w:rsidRDefault="00543948" w:rsidP="00543948">
      <w:pPr>
        <w:jc w:val="both"/>
        <w:rPr>
          <w:lang w:val="ro-MD" w:eastAsia="ro-MD"/>
        </w:rPr>
      </w:pPr>
      <w:r w:rsidRPr="00543948">
        <w:rPr>
          <w:lang w:val="ro-MD" w:eastAsia="ro-MD"/>
        </w:rPr>
        <w:t>a) pozițiile pe cursul de schimb valutar și pe mărfuri;</w:t>
      </w:r>
    </w:p>
    <w:p w14:paraId="65E4EC7A" w14:textId="77777777" w:rsidR="00543948" w:rsidRPr="00543948" w:rsidRDefault="00543948" w:rsidP="00543948">
      <w:pPr>
        <w:jc w:val="both"/>
        <w:rPr>
          <w:lang w:val="ro-MD" w:eastAsia="ro-MD"/>
        </w:rPr>
      </w:pPr>
      <w:r w:rsidRPr="00543948">
        <w:rPr>
          <w:lang w:val="ro-MD" w:eastAsia="ro-MD"/>
        </w:rPr>
        <w:t xml:space="preserve">b) pozițiile pe instrumente financiare derivate de credit care sunt recunoscute ca acoperiri interne împotriva expunerilor la riscul de credit sau la riscul de </w:t>
      </w:r>
      <w:proofErr w:type="spellStart"/>
      <w:r w:rsidRPr="00543948">
        <w:rPr>
          <w:lang w:val="ro-MD" w:eastAsia="ro-MD"/>
        </w:rPr>
        <w:t>contraparte</w:t>
      </w:r>
      <w:proofErr w:type="spellEnd"/>
      <w:r w:rsidRPr="00543948">
        <w:rPr>
          <w:lang w:val="ro-MD" w:eastAsia="ro-MD"/>
        </w:rPr>
        <w:t xml:space="preserve"> din afara portofoliului de tranzacționare și tranzacțiile cu instrumente financiare derivate de credit care compensează perfect riscul de piață al acoperirilor interne, astfel cum se menționează în Regulamentul nr.114/2018;</w:t>
      </w:r>
    </w:p>
    <w:p w14:paraId="1A5103C7" w14:textId="1A982F75" w:rsidR="00543948" w:rsidRPr="00543948" w:rsidRDefault="00872CBE" w:rsidP="00543948">
      <w:pPr>
        <w:jc w:val="both"/>
        <w:rPr>
          <w:lang w:val="ro-MD" w:eastAsia="ro-MD"/>
        </w:rPr>
      </w:pPr>
      <w:r>
        <w:rPr>
          <w:lang w:val="ro-MD" w:eastAsia="ro-MD"/>
        </w:rPr>
        <w:t>2</w:t>
      </w:r>
      <w:r w:rsidR="00543948" w:rsidRPr="00543948">
        <w:rPr>
          <w:lang w:val="ro-MD" w:eastAsia="ro-MD"/>
        </w:rPr>
        <w:t>) toate pozițiile incluse în calcul în conformitate cu subpunctul 1) se evaluează la valoarea lor de piață de la data respectivă; în cazul în care valoarea de piață a unei poziții nu este disponibilă la o anumită dată, băncile utilizează valoarea justă pentru poziția respectivă de la data vizată; în cazul în care valoarea de piață și valoarea justă a unei poziții nu sunt disponibile la o anumită dată, băncile utilizează cea mai recentă valoare de piață sau valoare justă pentru poziția respectivă;</w:t>
      </w:r>
    </w:p>
    <w:p w14:paraId="310A9BA5" w14:textId="5B614E01" w:rsidR="00543948" w:rsidRPr="00543948" w:rsidRDefault="00872CBE" w:rsidP="00543948">
      <w:pPr>
        <w:jc w:val="both"/>
        <w:rPr>
          <w:lang w:val="ro-MD" w:eastAsia="ro-MD"/>
        </w:rPr>
      </w:pPr>
      <w:r>
        <w:rPr>
          <w:lang w:val="ro-MD" w:eastAsia="ro-MD"/>
        </w:rPr>
        <w:t>3</w:t>
      </w:r>
      <w:r w:rsidR="00543948" w:rsidRPr="00543948">
        <w:rPr>
          <w:lang w:val="ro-MD" w:eastAsia="ro-MD"/>
        </w:rPr>
        <w:t>) valoarea absolută a poziției lungi agregate se adună cu valoarea absolută a poziției scurte agregate.</w:t>
      </w:r>
    </w:p>
    <w:p w14:paraId="7F01E52D" w14:textId="77777777" w:rsidR="00543948" w:rsidRPr="00543948" w:rsidRDefault="00543948" w:rsidP="00543948">
      <w:pPr>
        <w:jc w:val="both"/>
        <w:rPr>
          <w:lang w:val="ro-MD" w:eastAsia="ro-MD"/>
        </w:rPr>
      </w:pPr>
      <w:r w:rsidRPr="00543948">
        <w:rPr>
          <w:lang w:val="ro-MD" w:eastAsia="ro-MD"/>
        </w:rPr>
        <w:t>O poziție lungă este una pentru care valoarea de piață a poziției crește atunci când valoarea principalului său determinant de risc crește, iar o poziție scurtă este una pentru care valoarea de piață a poziției scade atunci când valoarea principalului său determinant de risc crește.</w:t>
      </w:r>
    </w:p>
    <w:p w14:paraId="06C1E032" w14:textId="5CC1395F" w:rsidR="00543948" w:rsidRDefault="00543948" w:rsidP="00543948">
      <w:pPr>
        <w:jc w:val="both"/>
        <w:rPr>
          <w:sz w:val="18"/>
          <w:szCs w:val="18"/>
          <w:lang w:val="ro-MD" w:eastAsia="ro-MD"/>
        </w:rPr>
      </w:pPr>
      <w:r w:rsidRPr="00543948">
        <w:rPr>
          <w:lang w:val="ro-MD" w:eastAsia="ro-MD"/>
        </w:rPr>
        <w:lastRenderedPageBreak/>
        <w:t>Valoarea poziției lungi agregate, respectiv poziției scurte agregate, este egală cu suma valorilor pozițiilor lungi individuale, respectiv pozițiilor scurte individuale, incluse în calcul în conformitate cu subpunctul 1).</w:t>
      </w:r>
      <w:r>
        <w:rPr>
          <w:sz w:val="18"/>
          <w:szCs w:val="18"/>
          <w:lang w:val="ro-MD" w:eastAsia="ro-MD"/>
        </w:rPr>
        <w:t>”.</w:t>
      </w:r>
    </w:p>
    <w:p w14:paraId="493B4FE6" w14:textId="3DCF39A1" w:rsidR="001C7868" w:rsidRDefault="001C7868" w:rsidP="00C936FF">
      <w:pPr>
        <w:pStyle w:val="ListParagraph"/>
        <w:numPr>
          <w:ilvl w:val="1"/>
          <w:numId w:val="27"/>
        </w:numPr>
        <w:spacing w:before="80"/>
        <w:ind w:left="0" w:firstLine="567"/>
        <w:contextualSpacing w:val="0"/>
        <w:jc w:val="both"/>
        <w:rPr>
          <w:lang w:val="ro-MD" w:eastAsia="ro-MD"/>
        </w:rPr>
      </w:pPr>
      <w:r>
        <w:rPr>
          <w:lang w:val="ro-MD" w:eastAsia="ro-MD"/>
        </w:rPr>
        <w:t>Se completează cu punctul 136</w:t>
      </w:r>
      <w:r>
        <w:rPr>
          <w:vertAlign w:val="superscript"/>
          <w:lang w:val="ro-MD" w:eastAsia="ro-MD"/>
        </w:rPr>
        <w:t>1</w:t>
      </w:r>
      <w:r>
        <w:rPr>
          <w:lang w:val="ro-MD" w:eastAsia="ro-MD"/>
        </w:rPr>
        <w:t xml:space="preserve"> cu următorul cuprins:</w:t>
      </w:r>
    </w:p>
    <w:p w14:paraId="33ECF28A" w14:textId="189297A6" w:rsidR="001C7868" w:rsidRPr="001C7868" w:rsidRDefault="001C7868" w:rsidP="001C7868">
      <w:pPr>
        <w:jc w:val="both"/>
        <w:rPr>
          <w:lang w:val="ro-MD" w:eastAsia="ro-MD"/>
        </w:rPr>
      </w:pPr>
      <w:r>
        <w:rPr>
          <w:lang w:val="ro-MD" w:eastAsia="ro-MD"/>
        </w:rPr>
        <w:t>„</w:t>
      </w:r>
      <w:r w:rsidRPr="001C7868">
        <w:rPr>
          <w:b/>
          <w:bCs/>
          <w:lang w:val="ro-MD" w:eastAsia="ro-MD"/>
        </w:rPr>
        <w:t>136</w:t>
      </w:r>
      <w:r w:rsidRPr="001C7868">
        <w:rPr>
          <w:b/>
          <w:bCs/>
          <w:vertAlign w:val="superscript"/>
          <w:lang w:val="ro-MD" w:eastAsia="ro-MD"/>
        </w:rPr>
        <w:t>1</w:t>
      </w:r>
      <w:r w:rsidRPr="001C7868">
        <w:rPr>
          <w:b/>
          <w:bCs/>
          <w:lang w:val="ro-MD" w:eastAsia="ro-MD"/>
        </w:rPr>
        <w:t>.</w:t>
      </w:r>
      <w:r w:rsidRPr="001C7868">
        <w:rPr>
          <w:lang w:val="ro-MD" w:eastAsia="ro-MD"/>
        </w:rPr>
        <w:t xml:space="preserve"> În cazul în care sunt îndeplinite ambele condiții prevăzute la punctul 135, cerințele privind administrarea portofoliului de tranzacționare prevăzute în Regulamentul nr.114/2018 nu se aplică.</w:t>
      </w:r>
      <w:r>
        <w:rPr>
          <w:lang w:val="ro-MD" w:eastAsia="ro-MD"/>
        </w:rPr>
        <w:t>”.</w:t>
      </w:r>
    </w:p>
    <w:p w14:paraId="79258BAC" w14:textId="51E2B09A" w:rsidR="00543948" w:rsidRDefault="001C7868" w:rsidP="00C936FF">
      <w:pPr>
        <w:pStyle w:val="ListParagraph"/>
        <w:numPr>
          <w:ilvl w:val="1"/>
          <w:numId w:val="27"/>
        </w:numPr>
        <w:spacing w:before="80"/>
        <w:ind w:left="0" w:firstLine="567"/>
        <w:contextualSpacing w:val="0"/>
        <w:jc w:val="both"/>
        <w:rPr>
          <w:lang w:val="ro-MD" w:eastAsia="ro-MD"/>
        </w:rPr>
      </w:pPr>
      <w:r>
        <w:rPr>
          <w:lang w:val="ro-MD" w:eastAsia="ro-MD"/>
        </w:rPr>
        <w:t>Punctul 137 va avea următorul cuprins:</w:t>
      </w:r>
    </w:p>
    <w:p w14:paraId="099AC4C1" w14:textId="33569A3E" w:rsidR="001C7868" w:rsidRDefault="001C7868" w:rsidP="001C7868">
      <w:pPr>
        <w:jc w:val="both"/>
        <w:rPr>
          <w:lang w:val="ro-MD" w:eastAsia="ro-MD"/>
        </w:rPr>
      </w:pPr>
      <w:r>
        <w:rPr>
          <w:lang w:val="ro-MD" w:eastAsia="ro-MD"/>
        </w:rPr>
        <w:t>„</w:t>
      </w:r>
      <w:r w:rsidRPr="001C7868">
        <w:rPr>
          <w:b/>
          <w:bCs/>
          <w:lang w:val="ro-MD" w:eastAsia="ro-MD"/>
        </w:rPr>
        <w:t>137.</w:t>
      </w:r>
      <w:r w:rsidRPr="001C7868">
        <w:rPr>
          <w:lang w:val="ro-MD" w:eastAsia="ro-MD"/>
        </w:rPr>
        <w:t xml:space="preserve"> Băncile notifică imediat, în scris, Banca Națională a Moldovei atunci când calculează sau încetează să mai calculeze cerințele de fonduri proprii pentru portofoliul lor de tranzacționare în conformitate cu punctul 135</w:t>
      </w:r>
      <w:r w:rsidRPr="001C7868">
        <w:rPr>
          <w:vertAlign w:val="superscript"/>
          <w:lang w:val="ro-MD" w:eastAsia="ro-MD"/>
        </w:rPr>
        <w:t>1</w:t>
      </w:r>
      <w:r w:rsidRPr="001C7868">
        <w:rPr>
          <w:lang w:val="ro-MD" w:eastAsia="ro-MD"/>
        </w:rPr>
        <w:t>. În cazul în care o bancă nu mai îndeplinește condițiile de la punctul 135, aceasta trebuie să notifice imediat, în scris, Banca Națională a Moldovei. Dacă, urmare notificării, Banca Națională a Moldovei, în urma unei evaluări, constată că banca nu îndeplinește cerințele de la punctul 135</w:t>
      </w:r>
      <w:r>
        <w:rPr>
          <w:lang w:val="ro-MD" w:eastAsia="ro-MD"/>
        </w:rPr>
        <w:t xml:space="preserve"> </w:t>
      </w:r>
      <w:r w:rsidRPr="001C7868">
        <w:rPr>
          <w:lang w:val="ro-MD" w:eastAsia="ro-MD"/>
        </w:rPr>
        <w:t>și informează banca în acest sens, banca va înceta să aplice punctul 135 începând cu următoarea dată de raportare.</w:t>
      </w:r>
      <w:r>
        <w:rPr>
          <w:lang w:val="ro-MD" w:eastAsia="ro-MD"/>
        </w:rPr>
        <w:t>”.</w:t>
      </w:r>
    </w:p>
    <w:p w14:paraId="19A29DE4" w14:textId="009DD8FE" w:rsidR="001C7868" w:rsidRDefault="001C7868" w:rsidP="00C936FF">
      <w:pPr>
        <w:pStyle w:val="ListParagraph"/>
        <w:numPr>
          <w:ilvl w:val="1"/>
          <w:numId w:val="27"/>
        </w:numPr>
        <w:spacing w:before="80"/>
        <w:ind w:left="0" w:firstLine="567"/>
        <w:contextualSpacing w:val="0"/>
        <w:jc w:val="both"/>
        <w:rPr>
          <w:lang w:val="ro-MD" w:eastAsia="ro-MD"/>
        </w:rPr>
      </w:pPr>
      <w:r>
        <w:rPr>
          <w:lang w:val="ro-MD" w:eastAsia="ro-MD"/>
        </w:rPr>
        <w:t>Se completează cu punctele 137</w:t>
      </w:r>
      <w:r>
        <w:rPr>
          <w:vertAlign w:val="superscript"/>
          <w:lang w:val="ro-MD" w:eastAsia="ro-MD"/>
        </w:rPr>
        <w:t>1</w:t>
      </w:r>
      <w:r>
        <w:rPr>
          <w:lang w:val="ro-MD" w:eastAsia="ro-MD"/>
        </w:rPr>
        <w:t>, 137</w:t>
      </w:r>
      <w:r>
        <w:rPr>
          <w:vertAlign w:val="superscript"/>
          <w:lang w:val="ro-MD" w:eastAsia="ro-MD"/>
        </w:rPr>
        <w:t>2</w:t>
      </w:r>
      <w:r>
        <w:rPr>
          <w:lang w:val="ro-MD" w:eastAsia="ro-MD"/>
        </w:rPr>
        <w:t xml:space="preserve"> și 137</w:t>
      </w:r>
      <w:r>
        <w:rPr>
          <w:vertAlign w:val="superscript"/>
          <w:lang w:val="ro-MD" w:eastAsia="ro-MD"/>
        </w:rPr>
        <w:t>3</w:t>
      </w:r>
      <w:r>
        <w:rPr>
          <w:lang w:val="ro-MD" w:eastAsia="ro-MD"/>
        </w:rPr>
        <w:t xml:space="preserve"> cu următorul cuprins:</w:t>
      </w:r>
    </w:p>
    <w:p w14:paraId="0201DBA4" w14:textId="77777777" w:rsidR="001C7868" w:rsidRPr="001C7868" w:rsidRDefault="001C7868" w:rsidP="001C7868">
      <w:pPr>
        <w:jc w:val="both"/>
        <w:rPr>
          <w:lang w:val="ro-MD" w:eastAsia="ro-MD"/>
        </w:rPr>
      </w:pPr>
      <w:r>
        <w:rPr>
          <w:lang w:val="ro-MD" w:eastAsia="ro-MD"/>
        </w:rPr>
        <w:t>„</w:t>
      </w:r>
      <w:r w:rsidRPr="001C7868">
        <w:rPr>
          <w:b/>
          <w:bCs/>
          <w:lang w:val="ro-MD" w:eastAsia="ro-MD"/>
        </w:rPr>
        <w:t>137</w:t>
      </w:r>
      <w:r w:rsidRPr="001C7868">
        <w:rPr>
          <w:b/>
          <w:bCs/>
          <w:vertAlign w:val="superscript"/>
          <w:lang w:val="ro-MD" w:eastAsia="ro-MD"/>
        </w:rPr>
        <w:t>1</w:t>
      </w:r>
      <w:r w:rsidRPr="001C7868">
        <w:rPr>
          <w:b/>
          <w:bCs/>
          <w:lang w:val="ro-MD" w:eastAsia="ro-MD"/>
        </w:rPr>
        <w:t>.</w:t>
      </w:r>
      <w:r w:rsidRPr="001C7868">
        <w:rPr>
          <w:lang w:val="ro-MD" w:eastAsia="ro-MD"/>
        </w:rPr>
        <w:t xml:space="preserve"> O bancă încetează să mai calculeze cerințele de fonduri proprii pentru portofoliul de tranzacționare în conformitate cu punctul 135</w:t>
      </w:r>
      <w:r w:rsidRPr="001C7868">
        <w:rPr>
          <w:vertAlign w:val="superscript"/>
          <w:lang w:val="ro-MD" w:eastAsia="ro-MD"/>
        </w:rPr>
        <w:t xml:space="preserve">1 </w:t>
      </w:r>
      <w:r w:rsidRPr="001C7868">
        <w:rPr>
          <w:lang w:val="ro-MD" w:eastAsia="ro-MD"/>
        </w:rPr>
        <w:t>în termen de trei luni dacă se regăsește într-una din următoarele situații:</w:t>
      </w:r>
    </w:p>
    <w:p w14:paraId="1C53D838" w14:textId="77777777" w:rsidR="001C7868" w:rsidRPr="001C7868" w:rsidRDefault="001C7868" w:rsidP="001C7868">
      <w:pPr>
        <w:jc w:val="both"/>
        <w:rPr>
          <w:lang w:val="ro-MD" w:eastAsia="ro-MD"/>
        </w:rPr>
      </w:pPr>
      <w:r w:rsidRPr="001C7868">
        <w:rPr>
          <w:lang w:val="ro-MD" w:eastAsia="ro-MD"/>
        </w:rPr>
        <w:t>1) banca nu îndeplinește condițiile stabilite la punctul 135 timp de trei luni consecutive;</w:t>
      </w:r>
    </w:p>
    <w:p w14:paraId="579AA906" w14:textId="48043F2F" w:rsidR="001C7868" w:rsidRPr="001C7868" w:rsidRDefault="001C7868" w:rsidP="001C7868">
      <w:pPr>
        <w:jc w:val="both"/>
        <w:rPr>
          <w:lang w:val="ro-MD" w:eastAsia="ro-MD"/>
        </w:rPr>
      </w:pPr>
      <w:r w:rsidRPr="00143DCB">
        <w:rPr>
          <w:lang w:val="ro-MD" w:eastAsia="ro-MD"/>
        </w:rPr>
        <w:t>2) banca nu îndeplinește condițiile stabilite la punctul 135 pentru mai mult de șase din ultimele 12 luni.</w:t>
      </w:r>
    </w:p>
    <w:p w14:paraId="63533C78" w14:textId="7D10433A" w:rsidR="001C7868" w:rsidRPr="001C7868" w:rsidRDefault="001C7868" w:rsidP="001C7868">
      <w:pPr>
        <w:jc w:val="both"/>
        <w:rPr>
          <w:lang w:val="ro-MD" w:eastAsia="ro-MD"/>
        </w:rPr>
      </w:pPr>
      <w:r w:rsidRPr="001C7868">
        <w:rPr>
          <w:b/>
          <w:bCs/>
          <w:lang w:val="ro-MD" w:eastAsia="ro-MD"/>
        </w:rPr>
        <w:t>137</w:t>
      </w:r>
      <w:r w:rsidRPr="001C7868">
        <w:rPr>
          <w:b/>
          <w:bCs/>
          <w:vertAlign w:val="superscript"/>
          <w:lang w:val="ro-MD" w:eastAsia="ro-MD"/>
        </w:rPr>
        <w:t>2</w:t>
      </w:r>
      <w:r w:rsidRPr="001C7868">
        <w:rPr>
          <w:b/>
          <w:bCs/>
          <w:lang w:val="ro-MD" w:eastAsia="ro-MD"/>
        </w:rPr>
        <w:t>.</w:t>
      </w:r>
      <w:r w:rsidRPr="001C7868">
        <w:rPr>
          <w:lang w:val="ro-MD" w:eastAsia="ro-MD"/>
        </w:rPr>
        <w:t xml:space="preserve"> În cazul în care o bancă a încetat să mai calculeze cerințele de fonduri proprii pentru portofoliul său de tranzacționare în conformitate cu punctul 135</w:t>
      </w:r>
      <w:r w:rsidRPr="001C7868">
        <w:rPr>
          <w:vertAlign w:val="superscript"/>
          <w:lang w:val="ro-MD" w:eastAsia="ro-MD"/>
        </w:rPr>
        <w:t>1</w:t>
      </w:r>
      <w:r w:rsidRPr="001C7868">
        <w:rPr>
          <w:lang w:val="ro-MD" w:eastAsia="ro-MD"/>
        </w:rPr>
        <w:t>, aceasta poate să calculeze cerințele de fonduri proprii pentru portofoliul său de tranzacționare în conformitate cu punctul 135</w:t>
      </w:r>
      <w:r w:rsidRPr="001C7868">
        <w:rPr>
          <w:vertAlign w:val="superscript"/>
          <w:lang w:val="ro-MD" w:eastAsia="ro-MD"/>
        </w:rPr>
        <w:t>1</w:t>
      </w:r>
      <w:r w:rsidRPr="001C7868">
        <w:rPr>
          <w:lang w:val="ro-MD" w:eastAsia="ro-MD"/>
        </w:rPr>
        <w:t xml:space="preserve"> numai dacă demonstrează Băncii Naționale a Moldovei că toate condițiile stabilite la punctul 135 au fost îndeplinite pe o perioadă neîntreruptă de un an.</w:t>
      </w:r>
    </w:p>
    <w:p w14:paraId="0B43BA03" w14:textId="592099D5" w:rsidR="001C7868" w:rsidRDefault="001C7868" w:rsidP="001C7868">
      <w:pPr>
        <w:jc w:val="both"/>
        <w:rPr>
          <w:lang w:val="ro-MD" w:eastAsia="ro-MD"/>
        </w:rPr>
      </w:pPr>
      <w:r w:rsidRPr="001C7868">
        <w:rPr>
          <w:b/>
          <w:bCs/>
          <w:lang w:val="ro-MD" w:eastAsia="ro-MD"/>
        </w:rPr>
        <w:t>137</w:t>
      </w:r>
      <w:r w:rsidRPr="001C7868">
        <w:rPr>
          <w:b/>
          <w:bCs/>
          <w:vertAlign w:val="superscript"/>
          <w:lang w:val="ro-MD" w:eastAsia="ro-MD"/>
        </w:rPr>
        <w:t>3</w:t>
      </w:r>
      <w:r w:rsidRPr="001C7868">
        <w:rPr>
          <w:b/>
          <w:bCs/>
          <w:lang w:val="ro-MD" w:eastAsia="ro-MD"/>
        </w:rPr>
        <w:t>.</w:t>
      </w:r>
      <w:r w:rsidRPr="001C7868">
        <w:rPr>
          <w:lang w:val="ro-MD" w:eastAsia="ro-MD"/>
        </w:rPr>
        <w:t xml:space="preserve"> Băncile nu deschid, nu cumpără și nu vând o poziție din portofoliul de tranzacționare cu unicul scop de a respecta oricare dintre condițiile prevăzute la punctul 135 în cursul evaluării lunare.</w:t>
      </w:r>
      <w:r>
        <w:rPr>
          <w:lang w:val="ro-MD" w:eastAsia="ro-MD"/>
        </w:rPr>
        <w:t>”.</w:t>
      </w:r>
    </w:p>
    <w:p w14:paraId="6E937C53" w14:textId="1553F253" w:rsidR="001C7868" w:rsidRDefault="001C7868" w:rsidP="00C936FF">
      <w:pPr>
        <w:pStyle w:val="ListParagraph"/>
        <w:numPr>
          <w:ilvl w:val="1"/>
          <w:numId w:val="27"/>
        </w:numPr>
        <w:spacing w:before="80"/>
        <w:ind w:left="0" w:firstLine="567"/>
        <w:contextualSpacing w:val="0"/>
        <w:jc w:val="both"/>
        <w:rPr>
          <w:lang w:val="ro-MD" w:eastAsia="ro-MD"/>
        </w:rPr>
      </w:pPr>
      <w:r>
        <w:rPr>
          <w:lang w:val="ro-MD" w:eastAsia="ro-MD"/>
        </w:rPr>
        <w:t>Se completează cu punctul 138</w:t>
      </w:r>
      <w:r>
        <w:rPr>
          <w:vertAlign w:val="superscript"/>
          <w:lang w:val="ro-MD" w:eastAsia="ro-MD"/>
        </w:rPr>
        <w:t xml:space="preserve">1 </w:t>
      </w:r>
      <w:r>
        <w:rPr>
          <w:lang w:val="ro-MD" w:eastAsia="ro-MD"/>
        </w:rPr>
        <w:t>cu următorul cuprins:</w:t>
      </w:r>
    </w:p>
    <w:p w14:paraId="3174A6E3" w14:textId="1E172AA3" w:rsidR="003016F1" w:rsidRPr="003016F1" w:rsidRDefault="001C7868" w:rsidP="003016F1">
      <w:pPr>
        <w:jc w:val="both"/>
        <w:rPr>
          <w:lang w:val="ro-MD" w:eastAsia="ro-MD"/>
        </w:rPr>
      </w:pPr>
      <w:r>
        <w:rPr>
          <w:lang w:val="ro-MD" w:eastAsia="ro-MD"/>
        </w:rPr>
        <w:t>„</w:t>
      </w:r>
      <w:r w:rsidR="00F26529" w:rsidRPr="00F26529">
        <w:rPr>
          <w:b/>
          <w:bCs/>
          <w:lang w:val="ro-MD" w:eastAsia="ro-MD"/>
        </w:rPr>
        <w:t>138</w:t>
      </w:r>
      <w:r w:rsidR="00F26529" w:rsidRPr="00F26529">
        <w:rPr>
          <w:b/>
          <w:bCs/>
          <w:vertAlign w:val="superscript"/>
          <w:lang w:val="ro-MD" w:eastAsia="ro-MD"/>
        </w:rPr>
        <w:t>1</w:t>
      </w:r>
      <w:r w:rsidR="00F26529" w:rsidRPr="00F26529">
        <w:rPr>
          <w:b/>
          <w:bCs/>
          <w:lang w:val="ro-MD" w:eastAsia="ro-MD"/>
        </w:rPr>
        <w:t>.</w:t>
      </w:r>
      <w:r w:rsidR="003016F1">
        <w:rPr>
          <w:b/>
          <w:bCs/>
          <w:lang w:val="ro-MD" w:eastAsia="ro-MD"/>
        </w:rPr>
        <w:t xml:space="preserve"> </w:t>
      </w:r>
      <w:r w:rsidR="003016F1" w:rsidRPr="003016F1">
        <w:rPr>
          <w:lang w:val="ro-MD" w:eastAsia="ro-MD"/>
        </w:rPr>
        <w:t>Banca poate distribui profit către acționari și/ori efectua plata de dobândă către deținătorii de instrumente de fonduri proprii de nivelul 1 suplimentar, cu condiția ca urmare distribuirii respective să fie îndeplinite simultan următoarele cerințe:</w:t>
      </w:r>
    </w:p>
    <w:p w14:paraId="63332748" w14:textId="79CB5F64" w:rsidR="003016F1" w:rsidRPr="003016F1" w:rsidRDefault="003016F1" w:rsidP="003016F1">
      <w:pPr>
        <w:jc w:val="both"/>
        <w:rPr>
          <w:lang w:val="ro-MD" w:eastAsia="ro-MD"/>
        </w:rPr>
      </w:pPr>
      <w:r w:rsidRPr="003016F1">
        <w:rPr>
          <w:lang w:val="ro-MD" w:eastAsia="ro-MD"/>
        </w:rPr>
        <w:t>1) fondurile proprii ale băncii vor satisface cerințele de fonduri proprii prevăzute de prezentul regulament, inclusiv cerințele suplimentare de fonduri proprii impuse de Banca Națională a Moldovei în temeiul art.139 alin.(5) din Legea nr.202/2017, precum și cerința de amortizor combinat stabilită în Regulamentul nr.110/2018;</w:t>
      </w:r>
    </w:p>
    <w:p w14:paraId="3C76E6AC" w14:textId="77777777" w:rsidR="003016F1" w:rsidRPr="003016F1" w:rsidRDefault="003016F1" w:rsidP="003016F1">
      <w:pPr>
        <w:jc w:val="both"/>
        <w:rPr>
          <w:lang w:val="ro-MD" w:eastAsia="ro-MD"/>
        </w:rPr>
      </w:pPr>
      <w:r w:rsidRPr="003016F1">
        <w:rPr>
          <w:lang w:val="ro-MD" w:eastAsia="ro-MD"/>
        </w:rPr>
        <w:t>2) banca respectă toți indicatorii prudențiali;</w:t>
      </w:r>
    </w:p>
    <w:p w14:paraId="387C3571" w14:textId="77777777" w:rsidR="003016F1" w:rsidRPr="003016F1" w:rsidRDefault="003016F1" w:rsidP="003016F1">
      <w:pPr>
        <w:jc w:val="both"/>
        <w:rPr>
          <w:lang w:val="ro-MD" w:eastAsia="ro-MD"/>
        </w:rPr>
      </w:pPr>
      <w:r w:rsidRPr="003016F1">
        <w:rPr>
          <w:lang w:val="ro-MD" w:eastAsia="ro-MD"/>
        </w:rPr>
        <w:t>3) banca respectă măsurile de supraveghere și redresare impuse de către Banca Națională a Moldovei;</w:t>
      </w:r>
    </w:p>
    <w:p w14:paraId="101B0B8B" w14:textId="7041D6D1" w:rsidR="003016F1" w:rsidRPr="003016F1" w:rsidRDefault="003016F1" w:rsidP="003016F1">
      <w:pPr>
        <w:jc w:val="both"/>
        <w:rPr>
          <w:lang w:val="ro-MD" w:eastAsia="ro-MD"/>
        </w:rPr>
      </w:pPr>
      <w:r w:rsidRPr="003016F1">
        <w:rPr>
          <w:lang w:val="ro-MD" w:eastAsia="ro-MD"/>
        </w:rPr>
        <w:t>4) distribuirea dividendelor nu va conduce la periclitarea stabilității băncii prin evaluarea impactului evenimentelor, inclusiv ulterioare, de ordin economic și social asupra stabilității băncii și a capacității acesteia de a respecta indicatorii de prudență și de performanță financiară ai băncii aferenți veniturilor și profitabilității capitalului, activelor, determinat, cel puțin, prin evaluarea rezultatelor testărilor la stres.</w:t>
      </w:r>
    </w:p>
    <w:p w14:paraId="78967EA7" w14:textId="77777777" w:rsidR="003016F1" w:rsidRPr="003016F1" w:rsidRDefault="003016F1" w:rsidP="003016F1">
      <w:pPr>
        <w:jc w:val="both"/>
        <w:rPr>
          <w:lang w:val="ro-MD" w:eastAsia="ro-MD"/>
        </w:rPr>
      </w:pPr>
      <w:r w:rsidRPr="003016F1">
        <w:rPr>
          <w:lang w:val="ro-MD" w:eastAsia="ro-MD"/>
        </w:rPr>
        <w:t>Banca solicită aprobarea prealabilă a Băncii Naționale a Moldovei, pentru distribuirile cumulative anuale care sunt egale sau depășesc 25% din profitul net al anului precedent înregistrat de bancă.</w:t>
      </w:r>
    </w:p>
    <w:p w14:paraId="729ABD28" w14:textId="21B7300C" w:rsidR="001C7868" w:rsidRDefault="003016F1" w:rsidP="003016F1">
      <w:pPr>
        <w:jc w:val="both"/>
        <w:rPr>
          <w:lang w:val="ro-MD" w:eastAsia="ro-MD"/>
        </w:rPr>
      </w:pPr>
      <w:r w:rsidRPr="003016F1">
        <w:rPr>
          <w:lang w:val="ro-MD" w:eastAsia="ro-MD"/>
        </w:rPr>
        <w:t xml:space="preserve">Banca notifică, în scris, Banca Națională a Moldovei cu privire la distribuirea efectuată în temeiul prezentului punct, cu cel puțin 10 zile lucrătoare înainte de desfășurarea ședinței Consiliului băncii la </w:t>
      </w:r>
      <w:r w:rsidRPr="003016F1">
        <w:rPr>
          <w:lang w:val="ro-MD" w:eastAsia="ro-MD"/>
        </w:rPr>
        <w:lastRenderedPageBreak/>
        <w:t>care va fi examinată chestiunea privind distribuirea profitului către acționari în temeiul prezentului punct în cazul în care distribuirile cumulative anuale constituie  până la 25% din profitul net al anului precedent înregistrat de bancă.</w:t>
      </w:r>
      <w:r w:rsidR="00B5147D">
        <w:rPr>
          <w:lang w:val="ro-MD" w:eastAsia="ro-MD"/>
        </w:rPr>
        <w:t>”.</w:t>
      </w:r>
    </w:p>
    <w:p w14:paraId="505A1A40" w14:textId="10924314" w:rsidR="00B5147D" w:rsidRDefault="00B5147D" w:rsidP="00C936FF">
      <w:pPr>
        <w:pStyle w:val="ListParagraph"/>
        <w:numPr>
          <w:ilvl w:val="1"/>
          <w:numId w:val="27"/>
        </w:numPr>
        <w:spacing w:before="80"/>
        <w:ind w:left="0" w:firstLine="567"/>
        <w:contextualSpacing w:val="0"/>
        <w:jc w:val="both"/>
        <w:rPr>
          <w:lang w:val="ro-MD" w:eastAsia="ro-MD"/>
        </w:rPr>
      </w:pPr>
      <w:r>
        <w:rPr>
          <w:lang w:val="ro-MD" w:eastAsia="ro-MD"/>
        </w:rPr>
        <w:t>La punctul 139</w:t>
      </w:r>
      <w:r w:rsidR="000D7EA3">
        <w:rPr>
          <w:lang w:val="ro-MD" w:eastAsia="ro-MD"/>
        </w:rPr>
        <w:t>,</w:t>
      </w:r>
      <w:r>
        <w:rPr>
          <w:lang w:val="ro-MD" w:eastAsia="ro-MD"/>
        </w:rPr>
        <w:t xml:space="preserve">  „textul „30 de zile” se substituie cu textul „</w:t>
      </w:r>
      <w:r w:rsidR="00A03120">
        <w:rPr>
          <w:lang w:val="ro-MD" w:eastAsia="ro-MD"/>
        </w:rPr>
        <w:t>4</w:t>
      </w:r>
      <w:r w:rsidR="00A03120" w:rsidRPr="00B5147D">
        <w:rPr>
          <w:lang w:val="ro-MD" w:eastAsia="ro-MD"/>
        </w:rPr>
        <w:t xml:space="preserve">0 </w:t>
      </w:r>
      <w:r w:rsidRPr="00B5147D">
        <w:rPr>
          <w:lang w:val="ro-MD" w:eastAsia="ro-MD"/>
        </w:rPr>
        <w:t>de zile lucrătoare</w:t>
      </w:r>
      <w:r>
        <w:rPr>
          <w:lang w:val="ro-MD" w:eastAsia="ro-MD"/>
        </w:rPr>
        <w:t>”.</w:t>
      </w:r>
    </w:p>
    <w:p w14:paraId="52209111" w14:textId="1ED1A7EF" w:rsidR="00B5147D" w:rsidRPr="00B5147D" w:rsidRDefault="00B5147D" w:rsidP="00EC0988">
      <w:pPr>
        <w:pStyle w:val="ListParagraph"/>
        <w:numPr>
          <w:ilvl w:val="1"/>
          <w:numId w:val="27"/>
        </w:numPr>
        <w:spacing w:before="80"/>
        <w:ind w:left="0" w:firstLine="567"/>
        <w:contextualSpacing w:val="0"/>
        <w:jc w:val="both"/>
        <w:rPr>
          <w:lang w:val="ro-MD" w:eastAsia="ro-MD"/>
        </w:rPr>
      </w:pPr>
      <w:r w:rsidRPr="00B5147D">
        <w:rPr>
          <w:lang w:val="ro-MD" w:eastAsia="ro-MD"/>
        </w:rPr>
        <w:t>La punctul 1</w:t>
      </w:r>
      <w:r>
        <w:rPr>
          <w:lang w:val="ro-MD" w:eastAsia="ro-MD"/>
        </w:rPr>
        <w:t>43</w:t>
      </w:r>
      <w:r w:rsidR="000D7EA3">
        <w:rPr>
          <w:lang w:val="ro-MD" w:eastAsia="ro-MD"/>
        </w:rPr>
        <w:t>,</w:t>
      </w:r>
      <w:r w:rsidRPr="00B5147D">
        <w:rPr>
          <w:lang w:val="ro-MD" w:eastAsia="ro-MD"/>
        </w:rPr>
        <w:t xml:space="preserve"> „textul „</w:t>
      </w:r>
      <w:r>
        <w:rPr>
          <w:lang w:val="ro-MD" w:eastAsia="ro-MD"/>
        </w:rPr>
        <w:t>2</w:t>
      </w:r>
      <w:r w:rsidRPr="00B5147D">
        <w:rPr>
          <w:lang w:val="ro-MD" w:eastAsia="ro-MD"/>
        </w:rPr>
        <w:t>0 de zile” se substituie cu textul „</w:t>
      </w:r>
      <w:r>
        <w:rPr>
          <w:lang w:val="ro-MD" w:eastAsia="ro-MD"/>
        </w:rPr>
        <w:t xml:space="preserve">maxim </w:t>
      </w:r>
      <w:r w:rsidR="00A03120">
        <w:rPr>
          <w:lang w:val="ro-MD" w:eastAsia="ro-MD"/>
        </w:rPr>
        <w:t>3</w:t>
      </w:r>
      <w:r w:rsidR="00A03120" w:rsidRPr="00B5147D">
        <w:rPr>
          <w:lang w:val="ro-MD" w:eastAsia="ro-MD"/>
        </w:rPr>
        <w:t xml:space="preserve">0 </w:t>
      </w:r>
      <w:r w:rsidRPr="00B5147D">
        <w:rPr>
          <w:lang w:val="ro-MD" w:eastAsia="ro-MD"/>
        </w:rPr>
        <w:t xml:space="preserve">de zile </w:t>
      </w:r>
      <w:r w:rsidR="00EC0988">
        <w:rPr>
          <w:lang w:val="ro-MD" w:eastAsia="ro-MD"/>
        </w:rPr>
        <w:t>l</w:t>
      </w:r>
      <w:r w:rsidRPr="00B5147D">
        <w:rPr>
          <w:lang w:val="ro-MD" w:eastAsia="ro-MD"/>
        </w:rPr>
        <w:t>ucrătoare”.</w:t>
      </w:r>
    </w:p>
    <w:p w14:paraId="6DC8D5B6" w14:textId="32D78383" w:rsidR="00B5147D" w:rsidRDefault="00B5147D" w:rsidP="00C936FF">
      <w:pPr>
        <w:pStyle w:val="ListParagraph"/>
        <w:numPr>
          <w:ilvl w:val="1"/>
          <w:numId w:val="27"/>
        </w:numPr>
        <w:spacing w:before="80"/>
        <w:ind w:left="0" w:firstLine="567"/>
        <w:contextualSpacing w:val="0"/>
        <w:jc w:val="both"/>
        <w:rPr>
          <w:lang w:val="ro-MD" w:eastAsia="ro-MD"/>
        </w:rPr>
      </w:pPr>
      <w:r>
        <w:rPr>
          <w:lang w:val="ro-MD" w:eastAsia="ro-MD"/>
        </w:rPr>
        <w:t>La punctul 144</w:t>
      </w:r>
      <w:r w:rsidR="000D7EA3">
        <w:rPr>
          <w:lang w:val="ro-MD" w:eastAsia="ro-MD"/>
        </w:rPr>
        <w:t>,</w:t>
      </w:r>
      <w:r>
        <w:rPr>
          <w:lang w:val="ro-MD" w:eastAsia="ro-MD"/>
        </w:rPr>
        <w:t xml:space="preserve"> după textul „10 zile” se completează cu cuvântul „lucrătoare”.</w:t>
      </w:r>
    </w:p>
    <w:p w14:paraId="70DCFC85" w14:textId="6C6F7012" w:rsidR="00B5147D" w:rsidRDefault="00B5147D" w:rsidP="00C936FF">
      <w:pPr>
        <w:pStyle w:val="ListParagraph"/>
        <w:numPr>
          <w:ilvl w:val="1"/>
          <w:numId w:val="27"/>
        </w:numPr>
        <w:spacing w:before="80"/>
        <w:ind w:left="0" w:firstLine="567"/>
        <w:contextualSpacing w:val="0"/>
        <w:jc w:val="both"/>
        <w:rPr>
          <w:lang w:val="ro-MD" w:eastAsia="ro-MD"/>
        </w:rPr>
      </w:pPr>
      <w:r>
        <w:rPr>
          <w:lang w:val="ro-MD" w:eastAsia="ro-MD"/>
        </w:rPr>
        <w:t>La punctul 147</w:t>
      </w:r>
      <w:r w:rsidR="000D7EA3">
        <w:rPr>
          <w:lang w:val="ro-MD" w:eastAsia="ro-MD"/>
        </w:rPr>
        <w:t>,</w:t>
      </w:r>
      <w:r>
        <w:rPr>
          <w:lang w:val="ro-MD" w:eastAsia="ro-MD"/>
        </w:rPr>
        <w:t xml:space="preserve"> cuvintele „la nivel individual” </w:t>
      </w:r>
      <w:r w:rsidR="00016E50">
        <w:rPr>
          <w:lang w:val="ro-MD" w:eastAsia="ro-MD"/>
        </w:rPr>
        <w:t>se completează cu cuvintele „și consolidat”</w:t>
      </w:r>
      <w:r>
        <w:rPr>
          <w:lang w:val="ro-MD" w:eastAsia="ro-MD"/>
        </w:rPr>
        <w:t>.</w:t>
      </w:r>
    </w:p>
    <w:p w14:paraId="6A8C7A1E" w14:textId="648E4952" w:rsidR="009E5BDA" w:rsidRDefault="000D7EA3" w:rsidP="00C936FF">
      <w:pPr>
        <w:pStyle w:val="ListParagraph"/>
        <w:numPr>
          <w:ilvl w:val="1"/>
          <w:numId w:val="27"/>
        </w:numPr>
        <w:spacing w:before="80"/>
        <w:ind w:left="0" w:firstLine="567"/>
        <w:contextualSpacing w:val="0"/>
        <w:jc w:val="both"/>
        <w:rPr>
          <w:lang w:val="ro-MD" w:eastAsia="ro-MD"/>
        </w:rPr>
      </w:pPr>
      <w:r>
        <w:rPr>
          <w:lang w:val="ro-MD" w:eastAsia="ro-MD"/>
        </w:rPr>
        <w:t>În</w:t>
      </w:r>
      <w:r w:rsidR="00B5147D" w:rsidRPr="009E5BDA">
        <w:rPr>
          <w:lang w:val="ro-MD" w:eastAsia="ro-MD"/>
        </w:rPr>
        <w:t xml:space="preserve"> </w:t>
      </w:r>
      <w:r w:rsidR="00B5147D" w:rsidRPr="00170D19">
        <w:rPr>
          <w:lang w:val="ro-MD" w:eastAsia="ro-MD"/>
        </w:rPr>
        <w:t xml:space="preserve">Anexa </w:t>
      </w:r>
      <w:r w:rsidR="009E5BDA" w:rsidRPr="00170D19">
        <w:rPr>
          <w:lang w:val="ro-MD" w:eastAsia="ro-MD"/>
        </w:rPr>
        <w:t>1</w:t>
      </w:r>
      <w:r w:rsidR="009E5BDA" w:rsidRPr="009E5BDA">
        <w:rPr>
          <w:lang w:val="ro-MD" w:eastAsia="ro-MD"/>
        </w:rPr>
        <w:t>:</w:t>
      </w:r>
    </w:p>
    <w:p w14:paraId="7876AF41" w14:textId="285694A8" w:rsidR="00425584" w:rsidRPr="00425584" w:rsidRDefault="00BD0467" w:rsidP="00C936FF">
      <w:pPr>
        <w:pStyle w:val="ListParagraph"/>
        <w:numPr>
          <w:ilvl w:val="2"/>
          <w:numId w:val="27"/>
        </w:numPr>
        <w:ind w:left="0" w:firstLine="568"/>
        <w:jc w:val="both"/>
        <w:rPr>
          <w:b/>
          <w:bCs/>
          <w:lang w:val="ro-MD" w:eastAsia="ro-MD"/>
        </w:rPr>
      </w:pPr>
      <w:bookmarkStart w:id="21" w:name="_Hlk207039598"/>
      <w:r>
        <w:rPr>
          <w:lang w:val="ro-MD" w:eastAsia="ro-MD"/>
        </w:rPr>
        <w:t>d</w:t>
      </w:r>
      <w:r w:rsidR="00FA337D" w:rsidRPr="00170D19">
        <w:rPr>
          <w:lang w:val="ro-MD" w:eastAsia="ro-MD"/>
        </w:rPr>
        <w:t>enumir</w:t>
      </w:r>
      <w:r w:rsidR="00170D19">
        <w:rPr>
          <w:lang w:val="ro-MD" w:eastAsia="ro-MD"/>
        </w:rPr>
        <w:t xml:space="preserve">ea anexei 1 </w:t>
      </w:r>
      <w:r w:rsidR="00070DA3">
        <w:rPr>
          <w:lang w:val="ro-MD" w:eastAsia="ro-MD"/>
        </w:rPr>
        <w:t>va avea următorul cuprins:</w:t>
      </w:r>
    </w:p>
    <w:p w14:paraId="727C7770" w14:textId="2293FCC3" w:rsidR="00D82CE3" w:rsidRPr="00425584" w:rsidRDefault="00D82CE3" w:rsidP="00425584">
      <w:pPr>
        <w:jc w:val="both"/>
        <w:rPr>
          <w:b/>
          <w:bCs/>
          <w:lang w:val="ro-MD" w:eastAsia="ro-MD"/>
        </w:rPr>
      </w:pPr>
      <w:r w:rsidRPr="00A10EC0">
        <w:rPr>
          <w:lang w:val="ro-RO" w:eastAsia="ro-MD"/>
        </w:rPr>
        <w:t>„</w:t>
      </w:r>
      <w:r w:rsidR="00A10EC0" w:rsidRPr="00C04DF1">
        <w:rPr>
          <w:b/>
          <w:bCs/>
          <w:lang w:val="ro-RO" w:eastAsia="ro-MD"/>
        </w:rPr>
        <w:t>Semnificația conceptului „previzibile” în sintagma „dividende previzibile” și „obligații previzibile”</w:t>
      </w:r>
      <w:r w:rsidR="000D7EA3" w:rsidRPr="00C04DF1">
        <w:rPr>
          <w:b/>
          <w:bCs/>
          <w:lang w:val="ro-RO" w:eastAsia="ro-MD"/>
        </w:rPr>
        <w:t xml:space="preserve">, </w:t>
      </w:r>
      <w:r w:rsidRPr="00C04DF1">
        <w:rPr>
          <w:b/>
          <w:bCs/>
          <w:lang w:val="ro-RO" w:eastAsia="ro-MD"/>
        </w:rPr>
        <w:t xml:space="preserve"> </w:t>
      </w:r>
      <w:r w:rsidR="000D7EA3" w:rsidRPr="00C04DF1">
        <w:rPr>
          <w:b/>
          <w:bCs/>
          <w:lang w:val="ro-RO" w:eastAsia="ro-MD"/>
        </w:rPr>
        <w:t xml:space="preserve">a </w:t>
      </w:r>
      <w:r w:rsidRPr="00C04DF1">
        <w:rPr>
          <w:b/>
          <w:bCs/>
          <w:lang w:val="ro-RO" w:eastAsia="ro-MD"/>
        </w:rPr>
        <w:t xml:space="preserve">conceptului „câștig rezultat din vânzare” </w:t>
      </w:r>
      <w:r w:rsidR="00A10EC0" w:rsidRPr="00C04DF1">
        <w:rPr>
          <w:b/>
          <w:bCs/>
          <w:lang w:val="ro-MD" w:eastAsia="ro-MD"/>
        </w:rPr>
        <w:t>și a conceptului  „împovărător din punct de vedere operațional”</w:t>
      </w:r>
      <w:r w:rsidRPr="00425584">
        <w:rPr>
          <w:lang w:val="ro-MD" w:eastAsia="ro-MD"/>
        </w:rPr>
        <w:t>”;</w:t>
      </w:r>
    </w:p>
    <w:p w14:paraId="14BF743B" w14:textId="32C12805" w:rsidR="009E5BDA" w:rsidRPr="00974438" w:rsidRDefault="00974438" w:rsidP="00C936FF">
      <w:pPr>
        <w:pStyle w:val="ListParagraph"/>
        <w:numPr>
          <w:ilvl w:val="2"/>
          <w:numId w:val="27"/>
        </w:numPr>
        <w:ind w:left="0" w:firstLine="568"/>
        <w:jc w:val="both"/>
        <w:rPr>
          <w:b/>
          <w:bCs/>
          <w:lang w:val="ro-MD" w:eastAsia="ro-MD"/>
        </w:rPr>
      </w:pPr>
      <w:r w:rsidRPr="00974438">
        <w:rPr>
          <w:lang w:val="ro-MD" w:eastAsia="ro-MD"/>
        </w:rPr>
        <w:t xml:space="preserve">după denumirea anexei 1, se completează cu textul </w:t>
      </w:r>
      <w:bookmarkEnd w:id="21"/>
      <w:r w:rsidR="00170D19" w:rsidRPr="00974438">
        <w:rPr>
          <w:lang w:val="ro-MD" w:eastAsia="ro-MD"/>
        </w:rPr>
        <w:t>„</w:t>
      </w:r>
      <w:r w:rsidR="00170D19" w:rsidRPr="00C04DF1">
        <w:rPr>
          <w:b/>
          <w:bCs/>
          <w:i/>
          <w:iCs/>
          <w:lang w:val="ro-MD" w:eastAsia="ro-MD"/>
        </w:rPr>
        <w:t>Secțiunea 1 Semnificația conceptului „previzibile” în sintagm</w:t>
      </w:r>
      <w:r w:rsidR="000D7EA3" w:rsidRPr="00C04DF1">
        <w:rPr>
          <w:b/>
          <w:bCs/>
          <w:i/>
          <w:iCs/>
          <w:lang w:val="ro-MD" w:eastAsia="ro-MD"/>
        </w:rPr>
        <w:t>ele</w:t>
      </w:r>
      <w:r w:rsidR="00170D19" w:rsidRPr="00C04DF1">
        <w:rPr>
          <w:b/>
          <w:bCs/>
          <w:i/>
          <w:iCs/>
          <w:lang w:val="ro-MD" w:eastAsia="ro-MD"/>
        </w:rPr>
        <w:t xml:space="preserve"> „dividende previzibile” și „obligații previzibile”</w:t>
      </w:r>
      <w:r w:rsidR="00170D19" w:rsidRPr="00974438">
        <w:rPr>
          <w:b/>
          <w:bCs/>
          <w:lang w:val="ro-MD" w:eastAsia="ro-MD"/>
        </w:rPr>
        <w:t xml:space="preserve"> </w:t>
      </w:r>
      <w:r w:rsidR="00170D19" w:rsidRPr="00974438">
        <w:rPr>
          <w:lang w:val="ro-MD" w:eastAsia="ro-MD"/>
        </w:rPr>
        <w:t>”</w:t>
      </w:r>
      <w:r w:rsidR="00FA337D" w:rsidRPr="00974438">
        <w:rPr>
          <w:lang w:val="ro-MD" w:eastAsia="ro-MD"/>
        </w:rPr>
        <w:t>;</w:t>
      </w:r>
    </w:p>
    <w:p w14:paraId="0E624D12" w14:textId="6CDF315D" w:rsidR="009E5BDA" w:rsidRDefault="009E5BDA" w:rsidP="00C936FF">
      <w:pPr>
        <w:pStyle w:val="ListParagraph"/>
        <w:numPr>
          <w:ilvl w:val="2"/>
          <w:numId w:val="27"/>
        </w:numPr>
        <w:ind w:left="0" w:firstLine="567"/>
        <w:rPr>
          <w:lang w:val="ro-MD" w:eastAsia="ro-MD"/>
        </w:rPr>
      </w:pPr>
      <w:r>
        <w:rPr>
          <w:lang w:val="ro-MD" w:eastAsia="ro-MD"/>
        </w:rPr>
        <w:t xml:space="preserve">se completează cu </w:t>
      </w:r>
      <w:r w:rsidR="000D7EA3">
        <w:rPr>
          <w:lang w:val="ro-MD" w:eastAsia="ro-MD"/>
        </w:rPr>
        <w:t xml:space="preserve">secțiunile </w:t>
      </w:r>
      <w:r>
        <w:rPr>
          <w:lang w:val="ro-MD" w:eastAsia="ro-MD"/>
        </w:rPr>
        <w:t>2 și</w:t>
      </w:r>
      <w:r w:rsidR="00143DCB">
        <w:rPr>
          <w:lang w:val="ro-MD" w:eastAsia="ro-MD"/>
        </w:rPr>
        <w:t xml:space="preserve"> </w:t>
      </w:r>
      <w:r>
        <w:rPr>
          <w:lang w:val="ro-MD" w:eastAsia="ro-MD"/>
        </w:rPr>
        <w:t>3 cu următorul cuprins:</w:t>
      </w:r>
    </w:p>
    <w:p w14:paraId="7409D354" w14:textId="77777777" w:rsidR="00BD0467" w:rsidRPr="00C04DF1" w:rsidRDefault="009E5BDA" w:rsidP="009E5BDA">
      <w:pPr>
        <w:jc w:val="center"/>
        <w:rPr>
          <w:b/>
          <w:bCs/>
          <w:i/>
          <w:iCs/>
          <w:lang w:val="ro-MD" w:eastAsia="ro-MD"/>
        </w:rPr>
      </w:pPr>
      <w:r>
        <w:rPr>
          <w:lang w:val="ro-MD" w:eastAsia="ro-MD"/>
        </w:rPr>
        <w:t>„</w:t>
      </w:r>
      <w:r w:rsidRPr="00C04DF1">
        <w:rPr>
          <w:b/>
          <w:bCs/>
          <w:i/>
          <w:iCs/>
          <w:lang w:val="ro-MD" w:eastAsia="ro-MD"/>
        </w:rPr>
        <w:t>Secțiunea 2</w:t>
      </w:r>
    </w:p>
    <w:p w14:paraId="7ACACA9F" w14:textId="79BB9EA0" w:rsidR="009E5BDA" w:rsidRPr="00C04DF1" w:rsidRDefault="009E5BDA" w:rsidP="009E5BDA">
      <w:pPr>
        <w:jc w:val="center"/>
        <w:rPr>
          <w:b/>
          <w:bCs/>
          <w:i/>
          <w:iCs/>
          <w:lang w:val="ro-MD" w:eastAsia="ro-MD"/>
        </w:rPr>
      </w:pPr>
      <w:r w:rsidRPr="00C04DF1">
        <w:rPr>
          <w:b/>
          <w:bCs/>
          <w:i/>
          <w:iCs/>
          <w:lang w:val="ro-MD" w:eastAsia="ro-MD"/>
        </w:rPr>
        <w:t>Semnificația</w:t>
      </w:r>
      <w:r w:rsidR="00BD0467" w:rsidRPr="00C04DF1">
        <w:rPr>
          <w:b/>
          <w:bCs/>
          <w:i/>
          <w:iCs/>
          <w:lang w:val="ro-MD" w:eastAsia="ro-MD"/>
        </w:rPr>
        <w:t xml:space="preserve"> </w:t>
      </w:r>
      <w:r w:rsidRPr="00C04DF1">
        <w:rPr>
          <w:b/>
          <w:bCs/>
          <w:i/>
          <w:iCs/>
          <w:lang w:val="ro-MD" w:eastAsia="ro-MD"/>
        </w:rPr>
        <w:t>conceptului „câștig rezultat din vânzare” în sensul punctului 25</w:t>
      </w:r>
      <w:r w:rsidRPr="00C04DF1">
        <w:rPr>
          <w:b/>
          <w:bCs/>
          <w:i/>
          <w:iCs/>
          <w:vertAlign w:val="superscript"/>
          <w:lang w:val="ro-MD" w:eastAsia="ro-MD"/>
        </w:rPr>
        <w:t>1</w:t>
      </w:r>
      <w:r w:rsidRPr="00C04DF1">
        <w:rPr>
          <w:b/>
          <w:bCs/>
          <w:i/>
          <w:iCs/>
          <w:lang w:val="ro-MD" w:eastAsia="ro-MD"/>
        </w:rPr>
        <w:t xml:space="preserve"> subpunctul 1)</w:t>
      </w:r>
    </w:p>
    <w:p w14:paraId="42147AF3" w14:textId="6DDFAD14" w:rsidR="009E5BDA" w:rsidRPr="009E5BDA" w:rsidRDefault="009E5BDA" w:rsidP="009E5BDA">
      <w:pPr>
        <w:jc w:val="both"/>
        <w:rPr>
          <w:lang w:val="ro-MD" w:eastAsia="ro-MD"/>
        </w:rPr>
      </w:pPr>
      <w:r w:rsidRPr="009E5BDA">
        <w:rPr>
          <w:lang w:val="ro-MD" w:eastAsia="ro-MD"/>
        </w:rPr>
        <w:t>1</w:t>
      </w:r>
      <w:r w:rsidR="00F508AF">
        <w:rPr>
          <w:lang w:val="ro-MD" w:eastAsia="ro-MD"/>
        </w:rPr>
        <w:t>3</w:t>
      </w:r>
      <w:r w:rsidRPr="009E5BDA">
        <w:rPr>
          <w:lang w:val="ro-MD" w:eastAsia="ro-MD"/>
        </w:rPr>
        <w:t>. În sensul punctului 25</w:t>
      </w:r>
      <w:r w:rsidRPr="009E5BDA">
        <w:rPr>
          <w:vertAlign w:val="superscript"/>
          <w:lang w:val="ro-MD" w:eastAsia="ro-MD"/>
        </w:rPr>
        <w:t>1</w:t>
      </w:r>
      <w:r w:rsidRPr="009E5BDA">
        <w:rPr>
          <w:lang w:val="ro-MD" w:eastAsia="ro-MD"/>
        </w:rPr>
        <w:t xml:space="preserve"> subpunctul 1), conceptul de „câștig rezultat din vânzare” înseamnă orice câștig rezultat din vânzare, recunoscut pentru bancă, care este înregistrat ca o creștere a oricărui element al fondurilor proprii și care este asociat venitului viitor din expuneri generat de vânzarea de active securitizate în momentul în care sunt scoase din bilanțul băncii în contextul unei operațiuni de securitizare.</w:t>
      </w:r>
    </w:p>
    <w:p w14:paraId="26BD8183" w14:textId="3729154B" w:rsidR="009E5BDA" w:rsidRPr="009E5BDA" w:rsidRDefault="00F508AF" w:rsidP="009E5BDA">
      <w:pPr>
        <w:jc w:val="both"/>
        <w:rPr>
          <w:lang w:val="ro-MD" w:eastAsia="ro-MD"/>
        </w:rPr>
      </w:pPr>
      <w:r>
        <w:rPr>
          <w:lang w:val="ro-MD" w:eastAsia="ro-MD"/>
        </w:rPr>
        <w:t>14</w:t>
      </w:r>
      <w:r w:rsidR="009E5BDA" w:rsidRPr="009E5BDA">
        <w:rPr>
          <w:lang w:val="ro-MD" w:eastAsia="ro-MD"/>
        </w:rPr>
        <w:t>. Câștigul rezultat din vânzare recunoscut se stabilește ca diferența între valorile de la subpunctul 1) și 2) de mai jos, astfel cum sunt stabilite prin aplicarea cadrului contabil:</w:t>
      </w:r>
    </w:p>
    <w:p w14:paraId="4F1E5222" w14:textId="77777777" w:rsidR="009E5BDA" w:rsidRPr="009E5BDA" w:rsidRDefault="009E5BDA" w:rsidP="009E5BDA">
      <w:pPr>
        <w:jc w:val="both"/>
        <w:rPr>
          <w:lang w:val="ro-MD" w:eastAsia="ro-MD"/>
        </w:rPr>
      </w:pPr>
      <w:r w:rsidRPr="009E5BDA">
        <w:rPr>
          <w:lang w:val="ro-MD" w:eastAsia="ro-MD"/>
        </w:rPr>
        <w:t>1) valoarea netă a activelor primite, inclusiv orice activ nou obținut minus orice alt activ dat sau orice nouă datorie asumată; și</w:t>
      </w:r>
    </w:p>
    <w:p w14:paraId="5941D07F" w14:textId="77777777" w:rsidR="009E5BDA" w:rsidRPr="009E5BDA" w:rsidRDefault="009E5BDA" w:rsidP="009E5BDA">
      <w:pPr>
        <w:jc w:val="both"/>
        <w:rPr>
          <w:lang w:val="ro-MD" w:eastAsia="ro-MD"/>
        </w:rPr>
      </w:pPr>
      <w:r w:rsidRPr="009E5BDA">
        <w:rPr>
          <w:lang w:val="ro-MD" w:eastAsia="ro-MD"/>
        </w:rPr>
        <w:t>2) valoarea contabilă a activelor securitizate sau a părții care nu mai este recunoscută.</w:t>
      </w:r>
    </w:p>
    <w:p w14:paraId="4CE8726D" w14:textId="3E22B10B" w:rsidR="009E5BDA" w:rsidRPr="009E5BDA" w:rsidRDefault="00F508AF" w:rsidP="009E5BDA">
      <w:pPr>
        <w:jc w:val="both"/>
        <w:rPr>
          <w:sz w:val="18"/>
          <w:szCs w:val="18"/>
          <w:lang w:val="ro-MD" w:eastAsia="ro-MD"/>
        </w:rPr>
      </w:pPr>
      <w:r>
        <w:rPr>
          <w:lang w:val="ro-MD" w:eastAsia="ro-MD"/>
        </w:rPr>
        <w:t>15</w:t>
      </w:r>
      <w:r w:rsidR="009E5BDA" w:rsidRPr="009E5BDA">
        <w:rPr>
          <w:lang w:val="ro-MD" w:eastAsia="ro-MD"/>
        </w:rPr>
        <w:t xml:space="preserve">. Câștigul rezultat din vânzare recunoscut care este asociat cu venitul viitor din expuneri se referă, în acest context, la „marja în exces” estimată a fi obținută în viitor, definită ca venituri de natură financiară și alte venituri din comisioane încasate aferente expunerilor securitizate, nete de costuri și cheltuieli. </w:t>
      </w:r>
    </w:p>
    <w:p w14:paraId="25FBE801" w14:textId="77777777" w:rsidR="00CC1861" w:rsidRPr="00C04DF1" w:rsidRDefault="009E5BDA" w:rsidP="009E5BDA">
      <w:pPr>
        <w:jc w:val="center"/>
        <w:rPr>
          <w:b/>
          <w:bCs/>
          <w:i/>
          <w:iCs/>
          <w:lang w:val="ro-MD" w:eastAsia="ro-MD"/>
        </w:rPr>
      </w:pPr>
      <w:r w:rsidRPr="00C04DF1">
        <w:rPr>
          <w:b/>
          <w:bCs/>
          <w:i/>
          <w:iCs/>
          <w:lang w:val="ro-MD" w:eastAsia="ro-MD"/>
        </w:rPr>
        <w:t>Secțiunea 3</w:t>
      </w:r>
    </w:p>
    <w:p w14:paraId="55A81782" w14:textId="4C00420F" w:rsidR="009E5BDA" w:rsidRPr="009E5BDA" w:rsidRDefault="009E5BDA" w:rsidP="009E5BDA">
      <w:pPr>
        <w:jc w:val="center"/>
        <w:rPr>
          <w:b/>
          <w:bCs/>
          <w:lang w:val="ro-MD" w:eastAsia="ro-MD"/>
        </w:rPr>
      </w:pPr>
      <w:r w:rsidRPr="00C04DF1">
        <w:rPr>
          <w:b/>
          <w:bCs/>
          <w:i/>
          <w:iCs/>
          <w:lang w:val="ro-MD" w:eastAsia="ro-MD"/>
        </w:rPr>
        <w:t>Semnificația conceptului  „împovărător din punct de vedere operațional”</w:t>
      </w:r>
      <w:r w:rsidRPr="009E5BDA">
        <w:rPr>
          <w:b/>
          <w:bCs/>
          <w:lang w:val="ro-MD" w:eastAsia="ro-MD"/>
        </w:rPr>
        <w:t xml:space="preserve"> </w:t>
      </w:r>
    </w:p>
    <w:p w14:paraId="43F9FE03" w14:textId="3BD018AB" w:rsidR="009E5BDA" w:rsidRPr="009E5BDA" w:rsidRDefault="009E5BDA" w:rsidP="00EC0988">
      <w:pPr>
        <w:jc w:val="both"/>
        <w:rPr>
          <w:lang w:val="ro-MD" w:eastAsia="ro-MD"/>
        </w:rPr>
      </w:pPr>
      <w:r w:rsidRPr="009E5BDA">
        <w:rPr>
          <w:lang w:val="ro-MD" w:eastAsia="ro-MD"/>
        </w:rPr>
        <w:t>1</w:t>
      </w:r>
      <w:r w:rsidR="00F508AF">
        <w:rPr>
          <w:lang w:val="ro-MD" w:eastAsia="ro-MD"/>
        </w:rPr>
        <w:t>6</w:t>
      </w:r>
      <w:r w:rsidRPr="009E5BDA">
        <w:rPr>
          <w:lang w:val="ro-MD" w:eastAsia="ro-MD"/>
        </w:rPr>
        <w:t xml:space="preserve">. În scopul </w:t>
      </w:r>
      <w:bookmarkStart w:id="22" w:name="_Hlk205286505"/>
      <w:r w:rsidRPr="009E5BDA">
        <w:rPr>
          <w:lang w:val="ro-MD" w:eastAsia="ro-MD"/>
        </w:rPr>
        <w:t>punctului 11</w:t>
      </w:r>
      <w:r w:rsidR="00607502">
        <w:rPr>
          <w:lang w:val="ro-MD" w:eastAsia="ro-MD"/>
        </w:rPr>
        <w:t>8</w:t>
      </w:r>
      <w:r w:rsidRPr="009E5BDA">
        <w:rPr>
          <w:vertAlign w:val="superscript"/>
          <w:lang w:val="ro-MD" w:eastAsia="ro-MD"/>
        </w:rPr>
        <w:t>3</w:t>
      </w:r>
      <w:bookmarkEnd w:id="22"/>
      <w:r w:rsidRPr="009E5BDA">
        <w:rPr>
          <w:lang w:val="ro-MD" w:eastAsia="ro-MD"/>
        </w:rPr>
        <w:t>, „împovărător din punct de vedere operațional” înseamnă situații în care abordările de tipul look-</w:t>
      </w:r>
      <w:proofErr w:type="spellStart"/>
      <w:r w:rsidRPr="009E5BDA">
        <w:rPr>
          <w:lang w:val="ro-MD" w:eastAsia="ro-MD"/>
        </w:rPr>
        <w:t>through</w:t>
      </w:r>
      <w:proofErr w:type="spellEnd"/>
      <w:r w:rsidRPr="009E5BDA">
        <w:rPr>
          <w:lang w:val="ro-MD" w:eastAsia="ro-MD"/>
        </w:rPr>
        <w:t xml:space="preserve"> privind deținerile de instrumente de capital în entitățile din sectorul financiar sau deținerile de instrumente de pasive eligibile în bănci pe o bază permanentă sunt nejustificate, conform evaluării efectuate de Banca Națională a Moldovei. Atunci când evaluează caracterul împovărător din punct de vedere operațional al situațiilor, autoritățile competente iau în considerare gradul scăzut de semnificație și perioada de deținere scurtă a unor astfel de poziții. O perioadă de deținere de scurtă durată impune ca banca să evidențieze marea lichiditate a indicelui.</w:t>
      </w:r>
    </w:p>
    <w:p w14:paraId="6892A2E3" w14:textId="41EE94CD" w:rsidR="009E5BDA" w:rsidRPr="009E5BDA" w:rsidRDefault="00F508AF" w:rsidP="00EC0988">
      <w:pPr>
        <w:jc w:val="both"/>
        <w:rPr>
          <w:lang w:val="ro-MD" w:eastAsia="ro-MD"/>
        </w:rPr>
      </w:pPr>
      <w:r>
        <w:rPr>
          <w:lang w:val="ro-MD" w:eastAsia="ro-MD"/>
        </w:rPr>
        <w:t>17</w:t>
      </w:r>
      <w:r w:rsidR="009E5BDA" w:rsidRPr="009E5BDA">
        <w:rPr>
          <w:lang w:val="ro-MD" w:eastAsia="ro-MD"/>
        </w:rPr>
        <w:t>. În scopul punctului 1</w:t>
      </w:r>
      <w:r w:rsidR="00070DA3">
        <w:rPr>
          <w:lang w:val="ro-MD" w:eastAsia="ro-MD"/>
        </w:rPr>
        <w:t>6</w:t>
      </w:r>
      <w:r w:rsidR="009E5BDA" w:rsidRPr="009E5BDA">
        <w:rPr>
          <w:lang w:val="ro-MD" w:eastAsia="ro-MD"/>
        </w:rPr>
        <w:t>, se consideră că o poziție are un grad scăzut de semnificație în cazul în care sunt îndeplinite toate condițiile următoare:</w:t>
      </w:r>
    </w:p>
    <w:p w14:paraId="5C7FCA96" w14:textId="38C890F8" w:rsidR="009E5BDA" w:rsidRPr="009E5BDA" w:rsidRDefault="009E5BDA" w:rsidP="00EC0988">
      <w:pPr>
        <w:jc w:val="both"/>
        <w:rPr>
          <w:lang w:val="ro-MD" w:eastAsia="ro-MD"/>
        </w:rPr>
      </w:pPr>
      <w:r w:rsidRPr="009E5BDA">
        <w:rPr>
          <w:lang w:val="ro-MD" w:eastAsia="ro-MD"/>
        </w:rPr>
        <w:t>a) expunerea individuală netă care rezultă din deținerile bazate pe indici măsurată înainte de aplicarea abordării de tipul look-</w:t>
      </w:r>
      <w:proofErr w:type="spellStart"/>
      <w:r w:rsidRPr="009E5BDA">
        <w:rPr>
          <w:lang w:val="ro-MD" w:eastAsia="ro-MD"/>
        </w:rPr>
        <w:t>through</w:t>
      </w:r>
      <w:proofErr w:type="spellEnd"/>
      <w:r w:rsidRPr="009E5BDA">
        <w:rPr>
          <w:lang w:val="ro-MD" w:eastAsia="ro-MD"/>
        </w:rPr>
        <w:t xml:space="preserve"> nu depășește 2% din elementele de fonduri proprii de nivel 1 de bază, astfel cum sunt calculate la punctul 56 subpunctul 1);</w:t>
      </w:r>
    </w:p>
    <w:p w14:paraId="2D8BBA74" w14:textId="0217F82C" w:rsidR="009E5BDA" w:rsidRPr="009E5BDA" w:rsidRDefault="009E5BDA" w:rsidP="00EC0988">
      <w:pPr>
        <w:jc w:val="both"/>
        <w:rPr>
          <w:lang w:val="ro-MD" w:eastAsia="ro-MD"/>
        </w:rPr>
      </w:pPr>
      <w:r w:rsidRPr="009E5BDA">
        <w:rPr>
          <w:lang w:val="ro-MD" w:eastAsia="ro-MD"/>
        </w:rPr>
        <w:lastRenderedPageBreak/>
        <w:t>b) expunerea agregată netă care rezultă din deținerile bazate pe indici măsurată înainte de aplicarea abordării de tipul look-</w:t>
      </w:r>
      <w:proofErr w:type="spellStart"/>
      <w:r w:rsidRPr="009E5BDA">
        <w:rPr>
          <w:lang w:val="ro-MD" w:eastAsia="ro-MD"/>
        </w:rPr>
        <w:t>through</w:t>
      </w:r>
      <w:proofErr w:type="spellEnd"/>
      <w:r w:rsidRPr="009E5BDA">
        <w:rPr>
          <w:lang w:val="ro-MD" w:eastAsia="ro-MD"/>
        </w:rPr>
        <w:t xml:space="preserve"> nu depășește 5% din elementele de fonduri proprii de nivel 1 de bază, astfel cum sunt calculate la punctul 56 subpunctul 1);</w:t>
      </w:r>
    </w:p>
    <w:p w14:paraId="3AFF9660" w14:textId="6C9853E0" w:rsidR="009E5BDA" w:rsidRDefault="009E5BDA" w:rsidP="00EC0988">
      <w:pPr>
        <w:jc w:val="both"/>
        <w:rPr>
          <w:lang w:val="ro-MD" w:eastAsia="ro-MD"/>
        </w:rPr>
      </w:pPr>
      <w:r w:rsidRPr="009E5BDA">
        <w:rPr>
          <w:lang w:val="ro-MD" w:eastAsia="ro-MD"/>
        </w:rPr>
        <w:t>c) suma expunerii nete agregate care rezultă din deținerile bazate pe indici măsurată înainte de aplicarea abordării de tipul look-</w:t>
      </w:r>
      <w:proofErr w:type="spellStart"/>
      <w:r w:rsidRPr="009E5BDA">
        <w:rPr>
          <w:lang w:val="ro-MD" w:eastAsia="ro-MD"/>
        </w:rPr>
        <w:t>through</w:t>
      </w:r>
      <w:proofErr w:type="spellEnd"/>
      <w:r w:rsidRPr="009E5BDA">
        <w:rPr>
          <w:lang w:val="ro-MD" w:eastAsia="ro-MD"/>
        </w:rPr>
        <w:t xml:space="preserve"> și orice alte dețineri care se deduc în conformitate cu punctul 30, subpunctul 7) nu depășește 10% din elementele de fonduri proprii de nivel 1 de bază, astfel cum sunt calculate la punctul 56, subpunctul 1).</w:t>
      </w:r>
      <w:r>
        <w:rPr>
          <w:lang w:val="ro-MD" w:eastAsia="ro-MD"/>
        </w:rPr>
        <w:t>”.</w:t>
      </w:r>
    </w:p>
    <w:p w14:paraId="1D0C6AEE" w14:textId="2AD69DF1" w:rsidR="009E5BDA" w:rsidRDefault="00E13ECC" w:rsidP="00C936FF">
      <w:pPr>
        <w:pStyle w:val="ListParagraph"/>
        <w:numPr>
          <w:ilvl w:val="1"/>
          <w:numId w:val="27"/>
        </w:numPr>
        <w:spacing w:before="80"/>
        <w:ind w:left="0" w:firstLine="567"/>
        <w:contextualSpacing w:val="0"/>
        <w:rPr>
          <w:lang w:val="ro-MD" w:eastAsia="ro-MD"/>
        </w:rPr>
      </w:pPr>
      <w:r>
        <w:rPr>
          <w:lang w:val="ro-MD" w:eastAsia="ro-MD"/>
        </w:rPr>
        <w:t>În</w:t>
      </w:r>
      <w:r w:rsidR="007E0FDE">
        <w:rPr>
          <w:lang w:val="ro-MD" w:eastAsia="ro-MD"/>
        </w:rPr>
        <w:t xml:space="preserve"> </w:t>
      </w:r>
      <w:r w:rsidR="009E5BDA">
        <w:rPr>
          <w:lang w:val="ro-MD" w:eastAsia="ro-MD"/>
        </w:rPr>
        <w:t>Anexa 2:</w:t>
      </w:r>
    </w:p>
    <w:p w14:paraId="714FC6BD" w14:textId="5932B0A3" w:rsidR="009E5BDA" w:rsidRDefault="009E5BDA" w:rsidP="00C936FF">
      <w:pPr>
        <w:pStyle w:val="ListParagraph"/>
        <w:numPr>
          <w:ilvl w:val="2"/>
          <w:numId w:val="27"/>
        </w:numPr>
        <w:ind w:left="0" w:firstLine="567"/>
        <w:rPr>
          <w:lang w:val="ro-MD" w:eastAsia="ro-MD"/>
        </w:rPr>
      </w:pPr>
      <w:r w:rsidRPr="00974438">
        <w:rPr>
          <w:lang w:val="ro-MD" w:eastAsia="ro-MD"/>
        </w:rPr>
        <w:t>denumirea se completează</w:t>
      </w:r>
      <w:r>
        <w:rPr>
          <w:lang w:val="ro-MD" w:eastAsia="ro-MD"/>
        </w:rPr>
        <w:t xml:space="preserve"> cu textul</w:t>
      </w:r>
      <w:r w:rsidR="00BE6378">
        <w:rPr>
          <w:lang w:val="ro-MD" w:eastAsia="ro-MD"/>
        </w:rPr>
        <w:t xml:space="preserve"> </w:t>
      </w:r>
      <w:r w:rsidR="00BE6378" w:rsidRPr="00BE6378">
        <w:rPr>
          <w:lang w:val="ro-MD" w:eastAsia="ro-MD"/>
        </w:rPr>
        <w:t>„</w:t>
      </w:r>
      <w:r w:rsidR="00BE6378">
        <w:rPr>
          <w:lang w:val="ro-MD" w:eastAsia="ro-MD"/>
        </w:rPr>
        <w:t xml:space="preserve"> </w:t>
      </w:r>
      <w:r w:rsidR="00BE6378" w:rsidRPr="00BE6378">
        <w:rPr>
          <w:lang w:val="ro-MD" w:eastAsia="ro-MD"/>
        </w:rPr>
        <w:t>, precum și a datoriilor</w:t>
      </w:r>
      <w:r w:rsidR="009A2B07">
        <w:rPr>
          <w:lang w:val="ro-MD" w:eastAsia="ro-MD"/>
        </w:rPr>
        <w:t xml:space="preserve"> – instrumente de pasive eligibile</w:t>
      </w:r>
      <w:r w:rsidR="00BE6378" w:rsidRPr="00BE6378">
        <w:rPr>
          <w:lang w:val="ro-MD" w:eastAsia="ro-MD"/>
        </w:rPr>
        <w:t>”</w:t>
      </w:r>
      <w:r w:rsidR="00BE6378">
        <w:rPr>
          <w:lang w:val="ro-MD" w:eastAsia="ro-MD"/>
        </w:rPr>
        <w:t>;</w:t>
      </w:r>
    </w:p>
    <w:p w14:paraId="70D79C29" w14:textId="4BE26948" w:rsidR="00BE6378" w:rsidRDefault="00BE6378" w:rsidP="00C936FF">
      <w:pPr>
        <w:pStyle w:val="ListParagraph"/>
        <w:numPr>
          <w:ilvl w:val="2"/>
          <w:numId w:val="27"/>
        </w:numPr>
        <w:ind w:left="0" w:firstLine="567"/>
        <w:rPr>
          <w:lang w:val="ro-MD" w:eastAsia="ro-MD"/>
        </w:rPr>
      </w:pPr>
      <w:r>
        <w:rPr>
          <w:lang w:val="ro-MD" w:eastAsia="ro-MD"/>
        </w:rPr>
        <w:t>punctul 1 se completează cu cuvintele „</w:t>
      </w:r>
      <w:r w:rsidRPr="00BE6378">
        <w:rPr>
          <w:lang w:val="ro-MD" w:eastAsia="ro-MD"/>
        </w:rPr>
        <w:t>sau a datoriilor băncii</w:t>
      </w:r>
      <w:r>
        <w:rPr>
          <w:lang w:val="ro-MD" w:eastAsia="ro-MD"/>
        </w:rPr>
        <w:t>”;</w:t>
      </w:r>
    </w:p>
    <w:p w14:paraId="0AC2D39A" w14:textId="07C5F3A6" w:rsidR="00BE6378" w:rsidRDefault="00143DCB" w:rsidP="00C936FF">
      <w:pPr>
        <w:pStyle w:val="ListParagraph"/>
        <w:numPr>
          <w:ilvl w:val="2"/>
          <w:numId w:val="27"/>
        </w:numPr>
        <w:ind w:left="0" w:firstLine="567"/>
        <w:jc w:val="both"/>
        <w:rPr>
          <w:lang w:val="ro-MD" w:eastAsia="ro-MD"/>
        </w:rPr>
      </w:pPr>
      <w:r>
        <w:rPr>
          <w:lang w:val="ro-MD" w:eastAsia="ro-MD"/>
        </w:rPr>
        <w:t>la punctul 2</w:t>
      </w:r>
      <w:r w:rsidR="00E13ECC">
        <w:rPr>
          <w:lang w:val="ro-MD" w:eastAsia="ro-MD"/>
        </w:rPr>
        <w:t>,</w:t>
      </w:r>
      <w:r>
        <w:rPr>
          <w:lang w:val="ro-MD" w:eastAsia="ro-MD"/>
        </w:rPr>
        <w:t xml:space="preserve"> </w:t>
      </w:r>
      <w:r w:rsidR="00BE6378">
        <w:rPr>
          <w:lang w:val="ro-MD" w:eastAsia="ro-MD"/>
        </w:rPr>
        <w:t>cuvintele „</w:t>
      </w:r>
      <w:r w:rsidR="00BE6378" w:rsidRPr="00BE6378">
        <w:rPr>
          <w:lang w:val="ro-MD" w:eastAsia="ro-MD"/>
        </w:rPr>
        <w:t>instrumente de capital ale</w:t>
      </w:r>
      <w:r w:rsidR="00BE6378">
        <w:rPr>
          <w:lang w:val="ro-MD" w:eastAsia="ro-MD"/>
        </w:rPr>
        <w:t>” se substituie cu cuvintele „</w:t>
      </w:r>
      <w:r w:rsidR="00BE6378" w:rsidRPr="00BE6378">
        <w:rPr>
          <w:lang w:val="ro-MD" w:eastAsia="ro-MD"/>
        </w:rPr>
        <w:t>instrumente de capital sau a datoriilor</w:t>
      </w:r>
      <w:r w:rsidR="00BE6378">
        <w:rPr>
          <w:lang w:val="ro-MD" w:eastAsia="ro-MD"/>
        </w:rPr>
        <w:t>”</w:t>
      </w:r>
      <w:r>
        <w:rPr>
          <w:lang w:val="ro-MD" w:eastAsia="ro-MD"/>
        </w:rPr>
        <w:t xml:space="preserve"> și după cuvintele „instrumente</w:t>
      </w:r>
      <w:r w:rsidR="003456C5">
        <w:rPr>
          <w:lang w:val="ro-MD" w:eastAsia="ro-MD"/>
        </w:rPr>
        <w:t>lor</w:t>
      </w:r>
      <w:r>
        <w:rPr>
          <w:lang w:val="ro-MD" w:eastAsia="ro-MD"/>
        </w:rPr>
        <w:t xml:space="preserve"> de capital</w:t>
      </w:r>
      <w:r w:rsidR="003456C5">
        <w:rPr>
          <w:lang w:val="ro-MD" w:eastAsia="ro-MD"/>
        </w:rPr>
        <w:t>” se completează cu cuvintele „sau a datoriilor”</w:t>
      </w:r>
      <w:r w:rsidR="00BE6378">
        <w:rPr>
          <w:lang w:val="ro-MD" w:eastAsia="ro-MD"/>
        </w:rPr>
        <w:t>;</w:t>
      </w:r>
    </w:p>
    <w:p w14:paraId="6C0C8D73" w14:textId="72E68874" w:rsidR="003456C5" w:rsidRDefault="00BE6378" w:rsidP="00C936FF">
      <w:pPr>
        <w:pStyle w:val="ListParagraph"/>
        <w:numPr>
          <w:ilvl w:val="2"/>
          <w:numId w:val="27"/>
        </w:numPr>
        <w:ind w:left="0" w:firstLine="567"/>
        <w:jc w:val="both"/>
        <w:rPr>
          <w:lang w:val="ro-MD" w:eastAsia="ro-MD"/>
        </w:rPr>
      </w:pPr>
      <w:r>
        <w:rPr>
          <w:lang w:val="ro-MD" w:eastAsia="ro-MD"/>
        </w:rPr>
        <w:t>punct</w:t>
      </w:r>
      <w:r w:rsidR="00F803AC">
        <w:rPr>
          <w:lang w:val="ro-MD" w:eastAsia="ro-MD"/>
        </w:rPr>
        <w:t>ele</w:t>
      </w:r>
      <w:r>
        <w:rPr>
          <w:lang w:val="ro-MD" w:eastAsia="ro-MD"/>
        </w:rPr>
        <w:t xml:space="preserve"> 3 </w:t>
      </w:r>
      <w:r w:rsidR="00F803AC">
        <w:rPr>
          <w:lang w:val="ro-MD" w:eastAsia="ro-MD"/>
        </w:rPr>
        <w:t>și 4 vor</w:t>
      </w:r>
      <w:r w:rsidR="003456C5">
        <w:rPr>
          <w:lang w:val="ro-MD" w:eastAsia="ro-MD"/>
        </w:rPr>
        <w:t xml:space="preserve"> avea următorul cuprins:</w:t>
      </w:r>
    </w:p>
    <w:p w14:paraId="37815FC1" w14:textId="44475C66" w:rsidR="00BE6378" w:rsidRDefault="003456C5" w:rsidP="00CC1861">
      <w:pPr>
        <w:jc w:val="both"/>
        <w:rPr>
          <w:lang w:val="ro-MD" w:eastAsia="ro-MD"/>
        </w:rPr>
      </w:pPr>
      <w:r>
        <w:rPr>
          <w:lang w:val="ro-MD" w:eastAsia="ro-MD"/>
        </w:rPr>
        <w:t>„</w:t>
      </w:r>
      <w:r w:rsidRPr="003456C5">
        <w:rPr>
          <w:b/>
          <w:bCs/>
          <w:lang w:val="ro-MD" w:eastAsia="ro-MD"/>
        </w:rPr>
        <w:t>3.</w:t>
      </w:r>
      <w:r w:rsidRPr="003456C5">
        <w:rPr>
          <w:lang w:val="ro-MD" w:eastAsia="ro-MD"/>
        </w:rPr>
        <w:t xml:space="preserve"> Finanțarea indirectă a instrumentelor de capital </w:t>
      </w:r>
      <w:bookmarkStart w:id="23" w:name="_Hlk207000509"/>
      <w:r w:rsidRPr="003456C5">
        <w:rPr>
          <w:lang w:val="ro-MD" w:eastAsia="ro-MD"/>
        </w:rPr>
        <w:t>în temeiul punctelor 16 subpunctul 2), 70 subpunctul 3), 97 subpunctul 3),</w:t>
      </w:r>
      <w:r w:rsidRPr="003456C5">
        <w:rPr>
          <w:rFonts w:ascii="Calibri" w:eastAsia="Calibri" w:hAnsi="Calibri"/>
          <w:kern w:val="2"/>
          <w:sz w:val="22"/>
          <w:szCs w:val="22"/>
          <w:lang w:val="ro-MD"/>
          <w14:ligatures w14:val="standardContextual"/>
        </w:rPr>
        <w:t xml:space="preserve"> </w:t>
      </w:r>
      <w:r w:rsidRPr="003456C5">
        <w:rPr>
          <w:lang w:val="ro-MD" w:eastAsia="ro-MD"/>
        </w:rPr>
        <w:t>precum și a datoriilor</w:t>
      </w:r>
      <w:r w:rsidR="009145D6" w:rsidRPr="009145D6">
        <w:t xml:space="preserve"> </w:t>
      </w:r>
      <w:r w:rsidR="009145D6" w:rsidRPr="009145D6">
        <w:rPr>
          <w:lang w:val="ro-MD" w:eastAsia="ro-MD"/>
        </w:rPr>
        <w:t xml:space="preserve">achiziționarea </w:t>
      </w:r>
      <w:r w:rsidR="009145D6">
        <w:rPr>
          <w:lang w:val="ro-MD" w:eastAsia="ro-MD"/>
        </w:rPr>
        <w:t>cărora</w:t>
      </w:r>
      <w:r w:rsidR="009145D6" w:rsidRPr="009145D6">
        <w:rPr>
          <w:lang w:val="ro-MD" w:eastAsia="ro-MD"/>
        </w:rPr>
        <w:t xml:space="preserve"> nu a fost finanțată indirect, de bancă</w:t>
      </w:r>
      <w:r w:rsidRPr="003456C5">
        <w:rPr>
          <w:lang w:val="ro-MD" w:eastAsia="ro-MD"/>
        </w:rPr>
        <w:t xml:space="preserve"> </w:t>
      </w:r>
      <w:r w:rsidR="009145D6">
        <w:rPr>
          <w:lang w:val="ro-MD" w:eastAsia="ro-MD"/>
        </w:rPr>
        <w:t>conform</w:t>
      </w:r>
      <w:r w:rsidRPr="003456C5">
        <w:rPr>
          <w:lang w:val="ro-MD" w:eastAsia="ro-MD"/>
        </w:rPr>
        <w:t xml:space="preserve"> punctului 109</w:t>
      </w:r>
      <w:r w:rsidR="009145D6">
        <w:rPr>
          <w:vertAlign w:val="superscript"/>
          <w:lang w:val="ro-MD" w:eastAsia="ro-MD"/>
        </w:rPr>
        <w:t>5</w:t>
      </w:r>
      <w:r w:rsidRPr="003456C5">
        <w:rPr>
          <w:lang w:val="ro-MD" w:eastAsia="ro-MD"/>
        </w:rPr>
        <w:t xml:space="preserve"> </w:t>
      </w:r>
      <w:bookmarkEnd w:id="23"/>
      <w:r w:rsidRPr="003456C5">
        <w:rPr>
          <w:lang w:val="ro-MD" w:eastAsia="ro-MD"/>
        </w:rPr>
        <w:t>se consideră finanțare care nu este directă.</w:t>
      </w:r>
      <w:r w:rsidR="00BE6378" w:rsidRPr="003456C5">
        <w:rPr>
          <w:lang w:val="ro-MD" w:eastAsia="ro-MD"/>
        </w:rPr>
        <w:t>”;</w:t>
      </w:r>
    </w:p>
    <w:p w14:paraId="6ED33EB1" w14:textId="77777777" w:rsidR="00F803AC" w:rsidRPr="00F803AC" w:rsidRDefault="00F803AC" w:rsidP="00F803AC">
      <w:pPr>
        <w:jc w:val="both"/>
        <w:rPr>
          <w:lang w:val="ro-RO" w:eastAsia="ro-MD"/>
        </w:rPr>
      </w:pPr>
      <w:r w:rsidRPr="00F803AC">
        <w:rPr>
          <w:b/>
          <w:bCs/>
          <w:lang w:val="ro-RO" w:eastAsia="ro-MD"/>
        </w:rPr>
        <w:t>4.</w:t>
      </w:r>
      <w:r w:rsidRPr="00F803AC">
        <w:rPr>
          <w:lang w:val="ro-RO" w:eastAsia="ro-MD"/>
        </w:rPr>
        <w:t xml:space="preserve"> Natura și formele aplicabile ale finanțării indirecte aferente achiziționării de instrumente de capital și a datoriilor unei bănci includ următoarele:</w:t>
      </w:r>
    </w:p>
    <w:p w14:paraId="391904F0" w14:textId="77777777" w:rsidR="00F803AC" w:rsidRPr="00F803AC" w:rsidRDefault="00F803AC" w:rsidP="00D96A94">
      <w:pPr>
        <w:jc w:val="both"/>
        <w:rPr>
          <w:lang w:val="ro-RO" w:eastAsia="ro-MD"/>
        </w:rPr>
      </w:pPr>
      <w:r w:rsidRPr="00F803AC">
        <w:rPr>
          <w:lang w:val="ro-RO" w:eastAsia="ro-MD"/>
        </w:rPr>
        <w:t>1) finanțarea achiziționării dreptului de proprietate de către un investitor, la emitere sau ulterior, a instrumentelor de capital sau a datoriilor unei bănci de către orice entități asupra cărora banca are un control direct sau indirect sau de către entități incluse în sfera de aplicare a consolidării contabile sau prudențiale a băncii și/sau în sfera de aplicare a supravegherii suplimentare a băncii în conformitate cu Legea nr.250/2017;</w:t>
      </w:r>
    </w:p>
    <w:p w14:paraId="0FDF2FC0" w14:textId="77777777" w:rsidR="00F803AC" w:rsidRPr="00F803AC" w:rsidRDefault="00F803AC" w:rsidP="00D96A94">
      <w:pPr>
        <w:jc w:val="both"/>
        <w:rPr>
          <w:lang w:val="ro-RO" w:eastAsia="ro-MD"/>
        </w:rPr>
      </w:pPr>
      <w:r w:rsidRPr="00F803AC">
        <w:rPr>
          <w:lang w:val="ro-RO" w:eastAsia="ro-MD"/>
        </w:rPr>
        <w:t>2) finanțarea achiziționării dreptului de proprietate de către un investitor, la emitere sau ulterior, a instrumentelor de capital sau as datoriilor unei bănci de către entități care sunt protejate de o garanție sau de utilizarea unui instrument financiar derivat de credit sau care sunt asigurate în alt mod, astfel încât riscul de credit este transferat către bancă sau către oricare dintre entitățile asupra cărora banca respectivă are un control direct sau indirect sau de către oricare entitate inclusă în sfera de aplicare a consolidării contabile sau prudențiale a băncii și/sau în sfera de aplicare a supravegherii suplimentare a băncii în conformitate cu Legea nr.250/2017;</w:t>
      </w:r>
    </w:p>
    <w:p w14:paraId="1F88A668" w14:textId="0A0EE11D" w:rsidR="00F803AC" w:rsidRPr="00F803AC" w:rsidRDefault="00F803AC" w:rsidP="00D96A94">
      <w:pPr>
        <w:jc w:val="both"/>
        <w:rPr>
          <w:lang w:val="ro-RO" w:eastAsia="ro-MD"/>
        </w:rPr>
      </w:pPr>
      <w:r w:rsidRPr="00F803AC">
        <w:rPr>
          <w:lang w:val="ro-RO" w:eastAsia="ro-MD"/>
        </w:rPr>
        <w:t>3) finanțarea acordată unui debitor care transferă finanțarea investitorului final în vederea achiziționării, la emitere sau ulterior, a instrumentelor de capital ale unei bănci.</w:t>
      </w:r>
      <w:r>
        <w:rPr>
          <w:lang w:val="ro-RO" w:eastAsia="ro-MD"/>
        </w:rPr>
        <w:t>”;</w:t>
      </w:r>
    </w:p>
    <w:p w14:paraId="107C51A4" w14:textId="0207C9C6" w:rsidR="0093627E" w:rsidRPr="0093627E" w:rsidRDefault="0093627E" w:rsidP="00C936FF">
      <w:pPr>
        <w:pStyle w:val="ListParagraph"/>
        <w:numPr>
          <w:ilvl w:val="2"/>
          <w:numId w:val="27"/>
        </w:numPr>
        <w:ind w:left="0" w:firstLine="567"/>
        <w:jc w:val="both"/>
        <w:rPr>
          <w:lang w:val="ro-MD" w:eastAsia="ro-MD"/>
        </w:rPr>
      </w:pPr>
      <w:r>
        <w:rPr>
          <w:lang w:val="ro-MD" w:eastAsia="ro-MD"/>
        </w:rPr>
        <w:t>se completează cu punctul 5</w:t>
      </w:r>
      <w:r>
        <w:rPr>
          <w:vertAlign w:val="superscript"/>
          <w:lang w:val="ro-MD" w:eastAsia="ro-MD"/>
        </w:rPr>
        <w:t xml:space="preserve">1 </w:t>
      </w:r>
      <w:r>
        <w:rPr>
          <w:lang w:val="ro-MD" w:eastAsia="ro-MD"/>
        </w:rPr>
        <w:t>cu următorul cuprins:</w:t>
      </w:r>
    </w:p>
    <w:p w14:paraId="1A043CD1" w14:textId="4BA77FF5" w:rsidR="0093627E" w:rsidRPr="0093627E" w:rsidRDefault="0093627E" w:rsidP="0093627E">
      <w:pPr>
        <w:jc w:val="both"/>
        <w:rPr>
          <w:lang w:val="ro-MD" w:eastAsia="ro-MD"/>
        </w:rPr>
      </w:pPr>
      <w:r>
        <w:rPr>
          <w:lang w:val="ro-MD" w:eastAsia="ro-MD"/>
        </w:rPr>
        <w:t>„</w:t>
      </w:r>
      <w:r w:rsidRPr="00EC0988">
        <w:rPr>
          <w:b/>
          <w:bCs/>
          <w:lang w:val="ro-MD" w:eastAsia="ro-MD"/>
        </w:rPr>
        <w:t>5</w:t>
      </w:r>
      <w:r w:rsidRPr="00EC0988">
        <w:rPr>
          <w:b/>
          <w:bCs/>
          <w:vertAlign w:val="superscript"/>
          <w:lang w:val="ro-MD" w:eastAsia="ro-MD"/>
        </w:rPr>
        <w:t>1</w:t>
      </w:r>
      <w:r w:rsidRPr="00EC0988">
        <w:rPr>
          <w:b/>
          <w:bCs/>
          <w:lang w:val="ro-MD" w:eastAsia="ro-MD"/>
        </w:rPr>
        <w:t>.</w:t>
      </w:r>
      <w:r w:rsidRPr="0093627E">
        <w:rPr>
          <w:lang w:val="ro-MD" w:eastAsia="ro-MD"/>
        </w:rPr>
        <w:t xml:space="preserve"> Natura și formele aplicabile ale finanțării indirecte aferente achiziționării dreptului de proprietate asupra instrumentelor de capital și a datoriilor unei bănci includ finanțarea circulară </w:t>
      </w:r>
      <w:proofErr w:type="spellStart"/>
      <w:r w:rsidRPr="0093627E">
        <w:rPr>
          <w:lang w:val="ro-MD" w:eastAsia="ro-MD"/>
        </w:rPr>
        <w:t>intragrup</w:t>
      </w:r>
      <w:proofErr w:type="spellEnd"/>
      <w:r w:rsidRPr="0093627E">
        <w:rPr>
          <w:lang w:val="ro-MD" w:eastAsia="ro-MD"/>
        </w:rPr>
        <w:t xml:space="preserve">. În acest scop, finanțarea circulară </w:t>
      </w:r>
      <w:proofErr w:type="spellStart"/>
      <w:r w:rsidRPr="0093627E">
        <w:rPr>
          <w:lang w:val="ro-MD" w:eastAsia="ro-MD"/>
        </w:rPr>
        <w:t>intragrup</w:t>
      </w:r>
      <w:proofErr w:type="spellEnd"/>
      <w:r w:rsidRPr="0093627E">
        <w:rPr>
          <w:lang w:val="ro-MD" w:eastAsia="ro-MD"/>
        </w:rPr>
        <w:t xml:space="preserve"> înseamnă oricare dintre următoarele:</w:t>
      </w:r>
    </w:p>
    <w:p w14:paraId="2F9DDB71" w14:textId="0D326D32" w:rsidR="0093627E" w:rsidRPr="0093627E" w:rsidRDefault="0093627E" w:rsidP="0093627E">
      <w:pPr>
        <w:jc w:val="both"/>
        <w:rPr>
          <w:lang w:val="ro-MD" w:eastAsia="ro-MD"/>
        </w:rPr>
      </w:pPr>
      <w:r w:rsidRPr="0093627E">
        <w:rPr>
          <w:lang w:val="ro-MD" w:eastAsia="ro-MD"/>
        </w:rPr>
        <w:t>1) situațiile în care o bancă a acordat un credit sau o altă finanțare sub orice formă uneia dintre entitățile menționate la punctul 4 subpunctul 1), prin intermediul unei alte entități menționate la același subpunct, care este utilizată pentru achiziționarea dreptului de proprietate asupra instrumentelor de capital sau a datoriilor băncii;</w:t>
      </w:r>
    </w:p>
    <w:p w14:paraId="2C10D265" w14:textId="75357586" w:rsidR="0093627E" w:rsidRDefault="0093627E" w:rsidP="0093627E">
      <w:pPr>
        <w:jc w:val="both"/>
        <w:rPr>
          <w:lang w:val="ro-MD" w:eastAsia="ro-MD"/>
        </w:rPr>
      </w:pPr>
      <w:r w:rsidRPr="0093627E">
        <w:rPr>
          <w:lang w:val="ro-MD" w:eastAsia="ro-MD"/>
        </w:rPr>
        <w:t xml:space="preserve">2) finanțarea acordată uneia dintre entitățile menționate la punctul 4, subpunctul 1), în alte scopuri decât achiziționarea dreptului de proprietate asupra instrumentelor de capital sau a datoriilor unei bănci prin intermediul unei alte entități menționate la același subpunct, cu condiția ca, ținând seama de orice orientări suplimentare furnizate de Banca Națională a Moldovei în calitate de autoritatea competentă cu privire la instrumentele de capital sau de autoritatea de rezoluție cu privire la datorii, </w:t>
      </w:r>
      <w:r w:rsidRPr="0093627E">
        <w:rPr>
          <w:lang w:val="ro-MD" w:eastAsia="ro-MD"/>
        </w:rPr>
        <w:lastRenderedPageBreak/>
        <w:t>banca să nu fie în măsură să demonstreze că tranzacția este realizată în condiții similare altor tranzacții cu părțile terțe și că investitorul nu trebuie să se bazeze pe distribuiri sau pe vânzarea instrumentelor de capital sau a datoriilor deținute pentru a suporta plata dobânzii și rambursarea finanțării.</w:t>
      </w:r>
      <w:r>
        <w:rPr>
          <w:lang w:val="ro-MD" w:eastAsia="ro-MD"/>
        </w:rPr>
        <w:t>”</w:t>
      </w:r>
      <w:r w:rsidR="00CC1861">
        <w:rPr>
          <w:lang w:val="ro-MD" w:eastAsia="ro-MD"/>
        </w:rPr>
        <w:t>;</w:t>
      </w:r>
    </w:p>
    <w:p w14:paraId="3D0E2F93" w14:textId="73DDCF14" w:rsidR="0093627E" w:rsidRDefault="0093627E" w:rsidP="00C936FF">
      <w:pPr>
        <w:pStyle w:val="ListParagraph"/>
        <w:numPr>
          <w:ilvl w:val="2"/>
          <w:numId w:val="27"/>
        </w:numPr>
        <w:ind w:left="0" w:firstLine="567"/>
        <w:jc w:val="both"/>
        <w:rPr>
          <w:lang w:val="ro-MD" w:eastAsia="ro-MD"/>
        </w:rPr>
      </w:pPr>
      <w:r>
        <w:rPr>
          <w:lang w:val="ro-MD" w:eastAsia="ro-MD"/>
        </w:rPr>
        <w:t>la punctul 6</w:t>
      </w:r>
      <w:r w:rsidR="00860970">
        <w:rPr>
          <w:lang w:val="ro-MD" w:eastAsia="ro-MD"/>
        </w:rPr>
        <w:t>,</w:t>
      </w:r>
      <w:r>
        <w:rPr>
          <w:lang w:val="ro-MD" w:eastAsia="ro-MD"/>
        </w:rPr>
        <w:t xml:space="preserve"> după cuvintele „instrument de capital” se </w:t>
      </w:r>
      <w:r w:rsidR="00977518">
        <w:rPr>
          <w:lang w:val="ro-MD" w:eastAsia="ro-MD"/>
        </w:rPr>
        <w:t>completează cu cuvintele „sau a unei datorii”;</w:t>
      </w:r>
    </w:p>
    <w:p w14:paraId="26123A98" w14:textId="4669FAA0" w:rsidR="00977518" w:rsidRDefault="00CC1861" w:rsidP="00C936FF">
      <w:pPr>
        <w:pStyle w:val="ListParagraph"/>
        <w:numPr>
          <w:ilvl w:val="2"/>
          <w:numId w:val="27"/>
        </w:numPr>
        <w:ind w:left="0" w:firstLine="567"/>
        <w:jc w:val="both"/>
        <w:rPr>
          <w:lang w:val="ro-MD" w:eastAsia="ro-MD"/>
        </w:rPr>
      </w:pPr>
      <w:r>
        <w:rPr>
          <w:lang w:val="ro-MD" w:eastAsia="ro-MD"/>
        </w:rPr>
        <w:t>l</w:t>
      </w:r>
      <w:r w:rsidR="00977518">
        <w:rPr>
          <w:lang w:val="ro-MD" w:eastAsia="ro-MD"/>
        </w:rPr>
        <w:t>a punctul 7</w:t>
      </w:r>
      <w:r w:rsidR="00860970">
        <w:rPr>
          <w:lang w:val="ro-MD" w:eastAsia="ro-MD"/>
        </w:rPr>
        <w:t>,</w:t>
      </w:r>
      <w:r w:rsidR="00977518">
        <w:rPr>
          <w:lang w:val="ro-MD" w:eastAsia="ro-MD"/>
        </w:rPr>
        <w:t xml:space="preserve"> cuvintele „</w:t>
      </w:r>
      <w:r w:rsidR="00977518" w:rsidRPr="00977518">
        <w:rPr>
          <w:lang w:val="ro-MD" w:eastAsia="ro-MD"/>
        </w:rPr>
        <w:t>cu scopul de a subscrie direct sau indirect instrumente de capital ale băncii</w:t>
      </w:r>
      <w:r w:rsidR="00977518">
        <w:rPr>
          <w:lang w:val="ro-MD" w:eastAsia="ro-MD"/>
        </w:rPr>
        <w:t>” se substituie cu cuvintele „</w:t>
      </w:r>
      <w:r w:rsidR="00977518" w:rsidRPr="00977518">
        <w:rPr>
          <w:lang w:val="ro-MD" w:eastAsia="ro-MD"/>
        </w:rPr>
        <w:t>cu scopul de a achiziționa direct sau indirect instrumente de capital sau datoriile băncii</w:t>
      </w:r>
      <w:r w:rsidR="00977518">
        <w:rPr>
          <w:lang w:val="ro-MD" w:eastAsia="ro-MD"/>
        </w:rPr>
        <w:t>”.</w:t>
      </w:r>
    </w:p>
    <w:p w14:paraId="4530B504" w14:textId="50656592" w:rsidR="00977518" w:rsidRDefault="00977518" w:rsidP="00C936FF">
      <w:pPr>
        <w:pStyle w:val="ListParagraph"/>
        <w:numPr>
          <w:ilvl w:val="1"/>
          <w:numId w:val="27"/>
        </w:numPr>
        <w:spacing w:before="80"/>
        <w:ind w:left="0" w:firstLine="567"/>
        <w:contextualSpacing w:val="0"/>
        <w:jc w:val="both"/>
        <w:rPr>
          <w:lang w:val="ro-MD" w:eastAsia="ro-MD"/>
        </w:rPr>
      </w:pPr>
      <w:r>
        <w:rPr>
          <w:lang w:val="ro-MD" w:eastAsia="ro-MD"/>
        </w:rPr>
        <w:t xml:space="preserve">Se completează cu </w:t>
      </w:r>
      <w:r w:rsidR="00860970">
        <w:rPr>
          <w:lang w:val="ro-MD" w:eastAsia="ro-MD"/>
        </w:rPr>
        <w:t xml:space="preserve">anexa </w:t>
      </w:r>
      <w:r>
        <w:rPr>
          <w:lang w:val="ro-MD" w:eastAsia="ro-MD"/>
        </w:rPr>
        <w:t>3</w:t>
      </w:r>
      <w:r>
        <w:rPr>
          <w:vertAlign w:val="superscript"/>
          <w:lang w:val="ro-MD" w:eastAsia="ro-MD"/>
        </w:rPr>
        <w:t>1</w:t>
      </w:r>
      <w:r>
        <w:rPr>
          <w:lang w:val="ro-MD" w:eastAsia="ro-MD"/>
        </w:rPr>
        <w:t xml:space="preserve"> cu următorul cuprins: </w:t>
      </w:r>
    </w:p>
    <w:p w14:paraId="7ABC9787" w14:textId="291386B1" w:rsidR="00FC2194" w:rsidRPr="00654B48" w:rsidRDefault="00977518" w:rsidP="00FC2194">
      <w:pPr>
        <w:jc w:val="right"/>
        <w:rPr>
          <w:lang w:val="ro-RO" w:eastAsia="ro-MD"/>
        </w:rPr>
      </w:pPr>
      <w:r>
        <w:rPr>
          <w:lang w:val="ro-MD" w:eastAsia="ro-MD"/>
        </w:rPr>
        <w:t>„</w:t>
      </w:r>
      <w:r w:rsidR="00FC2194" w:rsidRPr="00654B48">
        <w:rPr>
          <w:lang w:val="ro-RO" w:eastAsia="ro-MD"/>
        </w:rPr>
        <w:t xml:space="preserve">Anexa </w:t>
      </w:r>
      <w:r w:rsidR="00FC2194">
        <w:rPr>
          <w:lang w:val="ro-RO" w:eastAsia="ro-MD"/>
        </w:rPr>
        <w:t>3</w:t>
      </w:r>
      <w:r w:rsidR="00FC2194" w:rsidRPr="00654B48">
        <w:rPr>
          <w:vertAlign w:val="superscript"/>
          <w:lang w:val="ro-RO" w:eastAsia="ro-MD"/>
        </w:rPr>
        <w:t>1</w:t>
      </w:r>
    </w:p>
    <w:p w14:paraId="300E1DE4" w14:textId="77777777" w:rsidR="00FC2194" w:rsidRPr="00654B48" w:rsidRDefault="00FC2194" w:rsidP="00FC2194">
      <w:pPr>
        <w:jc w:val="right"/>
        <w:rPr>
          <w:lang w:val="ro-RO" w:eastAsia="ro-MD"/>
        </w:rPr>
      </w:pPr>
      <w:r w:rsidRPr="00654B48">
        <w:rPr>
          <w:lang w:val="ro-RO" w:eastAsia="ro-MD"/>
        </w:rPr>
        <w:t>la Regulamentul cu privire la</w:t>
      </w:r>
    </w:p>
    <w:p w14:paraId="289D7372" w14:textId="77777777" w:rsidR="00FC2194" w:rsidRPr="00654B48" w:rsidRDefault="00FC2194" w:rsidP="00FC2194">
      <w:pPr>
        <w:jc w:val="right"/>
        <w:rPr>
          <w:lang w:val="ro-RO" w:eastAsia="ro-MD"/>
        </w:rPr>
      </w:pPr>
      <w:r w:rsidRPr="00654B48">
        <w:rPr>
          <w:lang w:val="ro-RO" w:eastAsia="ro-MD"/>
        </w:rPr>
        <w:t>fondurile proprii ale băncilor</w:t>
      </w:r>
    </w:p>
    <w:p w14:paraId="3B62980F" w14:textId="77777777" w:rsidR="00FC2194" w:rsidRDefault="00FC2194" w:rsidP="00FC2194">
      <w:pPr>
        <w:jc w:val="right"/>
        <w:rPr>
          <w:lang w:val="ro-RO" w:eastAsia="ro-MD"/>
        </w:rPr>
      </w:pPr>
      <w:r w:rsidRPr="00654B48">
        <w:rPr>
          <w:lang w:val="ro-RO" w:eastAsia="ro-MD"/>
        </w:rPr>
        <w:t>și cerințele de capital</w:t>
      </w:r>
    </w:p>
    <w:p w14:paraId="0F6EF53E" w14:textId="77777777" w:rsidR="008765A1" w:rsidRPr="00654B48" w:rsidRDefault="008765A1" w:rsidP="00FC2194">
      <w:pPr>
        <w:jc w:val="right"/>
        <w:rPr>
          <w:lang w:val="ro-RO" w:eastAsia="ro-MD"/>
        </w:rPr>
      </w:pPr>
    </w:p>
    <w:p w14:paraId="5F33EEC0" w14:textId="50704167" w:rsidR="00977518" w:rsidRPr="00977518" w:rsidRDefault="00977518" w:rsidP="00CC1861">
      <w:pPr>
        <w:jc w:val="center"/>
        <w:rPr>
          <w:b/>
          <w:bCs/>
          <w:lang w:val="ro-MD" w:eastAsia="ro-MD"/>
        </w:rPr>
      </w:pPr>
      <w:r w:rsidRPr="00977518">
        <w:rPr>
          <w:b/>
          <w:bCs/>
          <w:lang w:val="ro-MD" w:eastAsia="ro-MD"/>
        </w:rPr>
        <w:t>Organizații cooperatiste de credit, instituții de economii, societăți mutuale</w:t>
      </w:r>
    </w:p>
    <w:p w14:paraId="665B1909" w14:textId="77777777" w:rsidR="00977518" w:rsidRPr="00977518" w:rsidRDefault="00977518" w:rsidP="00977518">
      <w:pPr>
        <w:jc w:val="center"/>
        <w:rPr>
          <w:b/>
          <w:bCs/>
          <w:lang w:val="ro-MD" w:eastAsia="ro-MD"/>
        </w:rPr>
      </w:pPr>
      <w:r w:rsidRPr="00977518">
        <w:rPr>
          <w:b/>
          <w:bCs/>
          <w:lang w:val="ro-MD" w:eastAsia="ro-MD"/>
        </w:rPr>
        <w:t>și instituții similare</w:t>
      </w:r>
    </w:p>
    <w:p w14:paraId="51990267" w14:textId="6293D221" w:rsidR="00977518" w:rsidRPr="00977518" w:rsidRDefault="00977518" w:rsidP="00977518">
      <w:pPr>
        <w:jc w:val="both"/>
        <w:rPr>
          <w:b/>
          <w:bCs/>
          <w:lang w:val="ro-MD" w:eastAsia="ro-MD"/>
        </w:rPr>
      </w:pPr>
      <w:r w:rsidRPr="00977518">
        <w:rPr>
          <w:lang w:val="ro-MD" w:eastAsia="ro-MD"/>
        </w:rPr>
        <w:t>Un anumit tip de întreprindere recunoscută conform legislației naționale aplicabile se califică drept organizație cooperatistă de credit, instituție de economii, societate mutuală sau instituții similare în sensul punctului 23</w:t>
      </w:r>
      <w:r w:rsidRPr="00977518">
        <w:rPr>
          <w:vertAlign w:val="superscript"/>
          <w:lang w:val="ro-MD" w:eastAsia="ro-MD"/>
        </w:rPr>
        <w:t>2</w:t>
      </w:r>
      <w:r w:rsidRPr="00977518">
        <w:rPr>
          <w:lang w:val="ro-MD" w:eastAsia="ro-MD"/>
        </w:rPr>
        <w:t xml:space="preserve"> din </w:t>
      </w:r>
      <w:r w:rsidR="000430D5" w:rsidRPr="00977518">
        <w:rPr>
          <w:lang w:val="ro-MD" w:eastAsia="ro-MD"/>
        </w:rPr>
        <w:t>Regulament</w:t>
      </w:r>
      <w:r w:rsidR="000430D5">
        <w:rPr>
          <w:lang w:val="ro-MD" w:eastAsia="ro-MD"/>
        </w:rPr>
        <w:t xml:space="preserve">ul </w:t>
      </w:r>
      <w:r w:rsidR="000430D5" w:rsidRPr="00244939">
        <w:rPr>
          <w:rFonts w:eastAsia="Arial Unicode MS"/>
          <w:bCs/>
          <w:lang w:val="ro-RO"/>
        </w:rPr>
        <w:t>cu privire la fondurile proprii ale băncilor și cerințele de capital</w:t>
      </w:r>
      <w:r w:rsidRPr="00977518">
        <w:rPr>
          <w:lang w:val="ro-MD" w:eastAsia="ro-MD"/>
        </w:rPr>
        <w:t>, în cazul în care sunt îndeplinite toate condițiile de mai jos:</w:t>
      </w:r>
    </w:p>
    <w:p w14:paraId="75FE08E0" w14:textId="402DB89B" w:rsidR="00977518" w:rsidRPr="00977518" w:rsidRDefault="00977518" w:rsidP="00977518">
      <w:pPr>
        <w:jc w:val="both"/>
        <w:rPr>
          <w:lang w:val="ro-MD" w:eastAsia="ro-MD"/>
        </w:rPr>
      </w:pPr>
      <w:r w:rsidRPr="00CC1861">
        <w:rPr>
          <w:b/>
          <w:bCs/>
          <w:lang w:val="ro-MD" w:eastAsia="ro-MD"/>
        </w:rPr>
        <w:t>1</w:t>
      </w:r>
      <w:r w:rsidR="00CC1861" w:rsidRPr="00CC1861">
        <w:rPr>
          <w:b/>
          <w:bCs/>
          <w:lang w:val="ro-MD" w:eastAsia="ro-MD"/>
        </w:rPr>
        <w:t>.</w:t>
      </w:r>
      <w:r w:rsidRPr="00977518">
        <w:rPr>
          <w:lang w:val="ro-MD" w:eastAsia="ro-MD"/>
        </w:rPr>
        <w:t xml:space="preserve"> În ceea ce privește fondurile proprii de nivel 1 de bază, pentru a fi considerată organizație cooperatistă de credit,</w:t>
      </w:r>
      <w:r w:rsidRPr="00977518">
        <w:rPr>
          <w:rFonts w:ascii="Calibri" w:eastAsia="Calibri" w:hAnsi="Calibri"/>
          <w:kern w:val="2"/>
          <w:sz w:val="22"/>
          <w:szCs w:val="22"/>
          <w:lang w:val="ro-MD"/>
          <w14:ligatures w14:val="standardContextual"/>
        </w:rPr>
        <w:t xml:space="preserve"> </w:t>
      </w:r>
      <w:r w:rsidRPr="00977518">
        <w:rPr>
          <w:lang w:val="ro-MD" w:eastAsia="ro-MD"/>
        </w:rPr>
        <w:t>instituție de economii,</w:t>
      </w:r>
      <w:r w:rsidRPr="00977518">
        <w:rPr>
          <w:rFonts w:ascii="Calibri" w:eastAsia="Calibri" w:hAnsi="Calibri"/>
          <w:kern w:val="2"/>
          <w:sz w:val="22"/>
          <w:szCs w:val="22"/>
          <w:lang w:val="ro-MD"/>
          <w14:ligatures w14:val="standardContextual"/>
        </w:rPr>
        <w:t xml:space="preserve"> </w:t>
      </w:r>
      <w:r w:rsidRPr="00977518">
        <w:rPr>
          <w:lang w:val="ro-MD" w:eastAsia="ro-MD"/>
        </w:rPr>
        <w:t>societate mutuală sau instituție similară organizațiilor cooperatiste de credit, societăților mutuale și instituțiilor de economii, societatea poate emite, conform legislației naționale aplicabile sau statutului societății, la nivelul persoanei juridice, numai instrumentele de capital menționate la punctele 23</w:t>
      </w:r>
      <w:r w:rsidRPr="00977518">
        <w:rPr>
          <w:vertAlign w:val="superscript"/>
          <w:lang w:val="ro-MD" w:eastAsia="ro-MD"/>
        </w:rPr>
        <w:t>3</w:t>
      </w:r>
      <w:r w:rsidRPr="00977518">
        <w:rPr>
          <w:lang w:val="ro-MD" w:eastAsia="ro-MD"/>
        </w:rPr>
        <w:t>-23</w:t>
      </w:r>
      <w:r w:rsidRPr="00977518">
        <w:rPr>
          <w:vertAlign w:val="superscript"/>
          <w:lang w:val="ro-MD" w:eastAsia="ro-MD"/>
        </w:rPr>
        <w:t>8</w:t>
      </w:r>
      <w:r w:rsidRPr="00977518">
        <w:rPr>
          <w:lang w:val="ro-MD" w:eastAsia="ro-MD"/>
        </w:rPr>
        <w:t>.</w:t>
      </w:r>
    </w:p>
    <w:p w14:paraId="2DA762F3" w14:textId="40339059" w:rsidR="00977518" w:rsidRPr="00977518" w:rsidRDefault="00977518" w:rsidP="00977518">
      <w:pPr>
        <w:jc w:val="both"/>
        <w:rPr>
          <w:lang w:val="ro-MD" w:eastAsia="ro-MD"/>
        </w:rPr>
      </w:pPr>
      <w:r w:rsidRPr="00CC1861">
        <w:rPr>
          <w:b/>
          <w:bCs/>
          <w:lang w:val="ro-MD" w:eastAsia="ro-MD"/>
        </w:rPr>
        <w:t>2</w:t>
      </w:r>
      <w:r w:rsidR="00CC1861" w:rsidRPr="00CC1861">
        <w:rPr>
          <w:b/>
          <w:bCs/>
          <w:lang w:val="ro-MD" w:eastAsia="ro-MD"/>
        </w:rPr>
        <w:t>.</w:t>
      </w:r>
      <w:r w:rsidRPr="00977518">
        <w:rPr>
          <w:lang w:val="ro-MD" w:eastAsia="ro-MD"/>
        </w:rPr>
        <w:t xml:space="preserve"> Pentru a fi considerată organizație cooperatistă de credit, atunci când titularii instrumentelor de fonduri proprii de nivel 1 de bază menționate la subpunctul 1), care pot să fie sau să nu fie membri ai societății, au capacitatea să demisioneze în temeiul legislației naționale aplicabile, aceștia pot beneficia, de asemenea, de dreptul de a restitui societății instrumentul de capital, dar numai sub rezerva restricțiilor legislației naționale aplicabile, a statutului societății și a prezentului regulament. Acest lucru nu împiedică societatea să emită, în temeiul legislației naționale aplicabile, instrumente de fonduri proprii de nivel 1 de bază conforme cu punctele 23</w:t>
      </w:r>
      <w:r w:rsidRPr="00977518">
        <w:rPr>
          <w:vertAlign w:val="superscript"/>
          <w:lang w:val="ro-MD" w:eastAsia="ro-MD"/>
        </w:rPr>
        <w:t>3</w:t>
      </w:r>
      <w:r w:rsidRPr="00977518">
        <w:rPr>
          <w:lang w:val="ro-MD" w:eastAsia="ro-MD"/>
        </w:rPr>
        <w:t>-23</w:t>
      </w:r>
      <w:r w:rsidRPr="00977518">
        <w:rPr>
          <w:vertAlign w:val="superscript"/>
          <w:lang w:val="ro-MD" w:eastAsia="ro-MD"/>
        </w:rPr>
        <w:t>8</w:t>
      </w:r>
      <w:r w:rsidRPr="00977518">
        <w:rPr>
          <w:lang w:val="ro-MD" w:eastAsia="ro-MD"/>
        </w:rPr>
        <w:t xml:space="preserve"> atât pentru membri, cât și pentru nemembri, care nu conferă dreptul de a restitui societății instrumentul de capital.</w:t>
      </w:r>
    </w:p>
    <w:p w14:paraId="098BDB93" w14:textId="3D2D3011" w:rsidR="00977518" w:rsidRPr="00977518" w:rsidRDefault="00977518" w:rsidP="00977518">
      <w:pPr>
        <w:jc w:val="both"/>
        <w:rPr>
          <w:lang w:val="ro-MD" w:eastAsia="ro-MD"/>
        </w:rPr>
      </w:pPr>
      <w:r w:rsidRPr="00CC1861">
        <w:rPr>
          <w:b/>
          <w:bCs/>
          <w:lang w:val="ro-MD" w:eastAsia="ro-MD"/>
        </w:rPr>
        <w:t>3</w:t>
      </w:r>
      <w:r w:rsidR="00CC1861" w:rsidRPr="00CC1861">
        <w:rPr>
          <w:b/>
          <w:bCs/>
          <w:lang w:val="ro-MD" w:eastAsia="ro-MD"/>
        </w:rPr>
        <w:t>.</w:t>
      </w:r>
      <w:r w:rsidRPr="00977518">
        <w:rPr>
          <w:lang w:val="ro-MD" w:eastAsia="ro-MD"/>
        </w:rPr>
        <w:t xml:space="preserve"> Pentru a fi considerată instituție de economii, suma capitalului, a rezervelor și a profiturilor interimare sau a celor de la sfârșit de exercițiu financiar nu poate fi distribuită, conform legislației naționale aplicabile, titularilor de instrumente de fonduri proprii de nivel 1 de bază. Se consideră că această condiție este îndeplinită chiar și în cazul în care instituția de ecomimii emite instrumente de fonduri proprii de nivel 1 de bază care acordă titularilor, în baza principiului continuității activității, dreptul la o parte din profituri și rezerve, în cazul în care acest lucru este permis prin legislația națională aplicabilă, cu condiția ca această parte să fie proporțională cu contribuția lor la capital și la rezerve sau, în cazul în care legislația națională aplicabilă permite acest lucru, în conformitate cu un mecanism alternativ. Instituția de economii poate emite instrumente de fonduri proprii de nivel 1 de bază care acordă titularilor, în caz de insolvabilitate sau de lichidare a acesteia, dreptul la rezerve care nu trebuie să fie proporțional cu contribuția la capital și la rezerve, în contextul îndeplinirii condițiilor de la punctele 23</w:t>
      </w:r>
      <w:r w:rsidRPr="00977518">
        <w:rPr>
          <w:vertAlign w:val="superscript"/>
          <w:lang w:val="ro-MD" w:eastAsia="ro-MD"/>
        </w:rPr>
        <w:t>6</w:t>
      </w:r>
      <w:r w:rsidRPr="00977518">
        <w:rPr>
          <w:lang w:val="ro-MD" w:eastAsia="ro-MD"/>
        </w:rPr>
        <w:t>-23</w:t>
      </w:r>
      <w:r w:rsidRPr="00977518">
        <w:rPr>
          <w:vertAlign w:val="superscript"/>
          <w:lang w:val="ro-MD" w:eastAsia="ro-MD"/>
        </w:rPr>
        <w:t>8</w:t>
      </w:r>
      <w:r w:rsidRPr="00977518">
        <w:rPr>
          <w:lang w:val="ro-MD" w:eastAsia="ro-MD"/>
        </w:rPr>
        <w:t>.</w:t>
      </w:r>
    </w:p>
    <w:p w14:paraId="55733AF7" w14:textId="6D16103C" w:rsidR="00977518" w:rsidRPr="00977518" w:rsidRDefault="00977518" w:rsidP="00977518">
      <w:pPr>
        <w:jc w:val="both"/>
        <w:rPr>
          <w:lang w:val="ro-MD" w:eastAsia="ro-MD"/>
        </w:rPr>
      </w:pPr>
      <w:r w:rsidRPr="00CC1861">
        <w:rPr>
          <w:b/>
          <w:bCs/>
          <w:lang w:val="ro-MD" w:eastAsia="ro-MD"/>
        </w:rPr>
        <w:t>4</w:t>
      </w:r>
      <w:r w:rsidR="00CC1861" w:rsidRPr="00CC1861">
        <w:rPr>
          <w:b/>
          <w:bCs/>
          <w:lang w:val="ro-MD" w:eastAsia="ro-MD"/>
        </w:rPr>
        <w:t>.</w:t>
      </w:r>
      <w:r w:rsidRPr="00977518">
        <w:rPr>
          <w:rFonts w:ascii="Calibri" w:eastAsia="Calibri" w:hAnsi="Calibri"/>
          <w:kern w:val="2"/>
          <w:sz w:val="22"/>
          <w:szCs w:val="22"/>
          <w:lang w:val="ro-MD"/>
          <w14:ligatures w14:val="standardContextual"/>
        </w:rPr>
        <w:t xml:space="preserve"> </w:t>
      </w:r>
      <w:r w:rsidRPr="00977518">
        <w:rPr>
          <w:lang w:val="ro-MD" w:eastAsia="ro-MD"/>
        </w:rPr>
        <w:t xml:space="preserve">Pentru a fi considerată societate mutuală, valoarea totală sau valoarea parțială a sumei capitalului și rezervelor trebuie să fie deținută de membrii societății, care nu beneficiază, în cursul activității obișnuite, de distribuirea directă a rezervelor, în special prin plata de dividende. Aceste condiții sunt </w:t>
      </w:r>
      <w:r w:rsidRPr="00977518">
        <w:rPr>
          <w:lang w:val="ro-MD" w:eastAsia="ro-MD"/>
        </w:rPr>
        <w:lastRenderedPageBreak/>
        <w:t>considerate a fi îndeplinite chiar și în cazul în care societatea emite instrumente de fonduri proprii de nivel 1 de bază care acordă un drept la profituri și rezerve, în cazul în care legislația națională aplicabilă permite acest lucru.</w:t>
      </w:r>
    </w:p>
    <w:p w14:paraId="40AA0825" w14:textId="15484EAE" w:rsidR="00977518" w:rsidRPr="00977518" w:rsidRDefault="00977518" w:rsidP="00977518">
      <w:pPr>
        <w:jc w:val="both"/>
        <w:rPr>
          <w:lang w:val="ro-MD" w:eastAsia="ro-MD"/>
        </w:rPr>
      </w:pPr>
      <w:r w:rsidRPr="00CC1861">
        <w:rPr>
          <w:b/>
          <w:bCs/>
          <w:lang w:val="ro-MD" w:eastAsia="ro-MD"/>
        </w:rPr>
        <w:t>5</w:t>
      </w:r>
      <w:r w:rsidR="00CC1861" w:rsidRPr="00CC1861">
        <w:rPr>
          <w:b/>
          <w:bCs/>
          <w:lang w:val="ro-MD" w:eastAsia="ro-MD"/>
        </w:rPr>
        <w:t>.</w:t>
      </w:r>
      <w:r w:rsidRPr="00977518">
        <w:rPr>
          <w:lang w:val="ro-MD" w:eastAsia="ro-MD"/>
        </w:rPr>
        <w:t xml:space="preserve"> Pentru a fi considerată drept instituție similară organizațiilor cooperatiste de credit, societăților mutuale și instituțiilor de economii, trebuie întrunite una sau mai multe dintre condițiile enumerate în continuare:</w:t>
      </w:r>
    </w:p>
    <w:p w14:paraId="56075B4A" w14:textId="3B889E8B" w:rsidR="00977518" w:rsidRPr="00977518" w:rsidRDefault="00ED711C" w:rsidP="00977518">
      <w:pPr>
        <w:jc w:val="both"/>
        <w:rPr>
          <w:lang w:val="ro-MD" w:eastAsia="ro-MD"/>
        </w:rPr>
      </w:pPr>
      <w:r>
        <w:rPr>
          <w:lang w:val="ro-MD" w:eastAsia="ro-MD"/>
        </w:rPr>
        <w:t>1</w:t>
      </w:r>
      <w:r w:rsidR="00977518" w:rsidRPr="00977518">
        <w:rPr>
          <w:lang w:val="ro-MD" w:eastAsia="ro-MD"/>
        </w:rPr>
        <w:t xml:space="preserve">) atunci când titularii instrumentelor de fonduri proprii de nivel 1 de bază menționate la </w:t>
      </w:r>
      <w:r w:rsidR="00EC0988">
        <w:rPr>
          <w:lang w:val="ro-MD" w:eastAsia="ro-MD"/>
        </w:rPr>
        <w:t>p</w:t>
      </w:r>
      <w:r w:rsidR="00977518" w:rsidRPr="00977518">
        <w:rPr>
          <w:lang w:val="ro-MD" w:eastAsia="ro-MD"/>
        </w:rPr>
        <w:t>unctul 1, care pot să fie sau să nu fie membri ai societății, au capacitatea să demisioneze în temeiul legislației naționale aplicabile, aceștia pot beneficia, de asemenea, de dreptul de a restitui societății instrumentul de capital, dar numai sub rezerva restricțiilor legislației naționale aplicabile, a statutului societății și a prezentului regulament. Acest lucru nu împiedică societatea să emită, în temeiul legislației naționale aplicabile, instrumente de fonduri proprii de nivel 1 de bază conforme cu punctele 23</w:t>
      </w:r>
      <w:r w:rsidR="00977518" w:rsidRPr="00977518">
        <w:rPr>
          <w:vertAlign w:val="superscript"/>
          <w:lang w:val="ro-MD" w:eastAsia="ro-MD"/>
        </w:rPr>
        <w:t>3</w:t>
      </w:r>
      <w:r w:rsidR="00977518" w:rsidRPr="00977518">
        <w:rPr>
          <w:lang w:val="ro-MD" w:eastAsia="ro-MD"/>
        </w:rPr>
        <w:t>-23</w:t>
      </w:r>
      <w:r w:rsidR="00977518" w:rsidRPr="00977518">
        <w:rPr>
          <w:vertAlign w:val="superscript"/>
          <w:lang w:val="ro-MD" w:eastAsia="ro-MD"/>
        </w:rPr>
        <w:t xml:space="preserve">8 </w:t>
      </w:r>
      <w:r w:rsidR="00977518" w:rsidRPr="00977518">
        <w:rPr>
          <w:lang w:val="ro-MD" w:eastAsia="ro-MD"/>
        </w:rPr>
        <w:t>atât pentru membri, cât și pentru nemembri, care nu conferă dreptul de a restitui societății instrumentul de capital;</w:t>
      </w:r>
    </w:p>
    <w:p w14:paraId="73461CA4" w14:textId="5E2E042D" w:rsidR="00977518" w:rsidRPr="00977518" w:rsidRDefault="00ED711C" w:rsidP="00977518">
      <w:pPr>
        <w:jc w:val="both"/>
        <w:rPr>
          <w:lang w:val="ro-MD" w:eastAsia="ro-MD"/>
        </w:rPr>
      </w:pPr>
      <w:r>
        <w:rPr>
          <w:lang w:val="ro-MD" w:eastAsia="ro-MD"/>
        </w:rPr>
        <w:t>2</w:t>
      </w:r>
      <w:r w:rsidR="00977518" w:rsidRPr="00977518">
        <w:rPr>
          <w:lang w:val="ro-MD" w:eastAsia="ro-MD"/>
        </w:rPr>
        <w:t>) conform legislației naționale aplicabile, suma capitalului, a rezervelor și a profiturilor interimare sau a celor de la sfârșit de exercițiu financiar nu poate fi distribuită titularilor de instrumente de fonduri proprii de nivel 1 de bază. Se consideră că această condiție este îndeplinită chiar și în cazul în care societatea emite instrumente de fonduri proprii de nivel 1 de bază care acordă titularilor, în baza principiului continuității activității, dreptul la o parte din profituri și rezerve, în cazul în care acest lucru este permis prin legislația națională aplicabilă, cu condiția ca această parte să fie proporțională cu contribuția lor la capital și la rezerve sau, în cazul în care legislația națională aplicabilă permite acest lucru, în conformitate cu un mecanism alternativ. Societatea poate emite instrumente de fonduri proprii de nivel 1 de bază care acordă titularilor, în caz de insolvabilitate sau de lichidare a societății, dreptul la rezerve care nu trebuie să fie proporțional cu contribuția la capital și la rezerve, în contextul îndeplinirii condițiilor de la punctele 23</w:t>
      </w:r>
      <w:r w:rsidR="00977518" w:rsidRPr="00977518">
        <w:rPr>
          <w:vertAlign w:val="superscript"/>
          <w:lang w:val="ro-MD" w:eastAsia="ro-MD"/>
        </w:rPr>
        <w:t>6</w:t>
      </w:r>
      <w:r w:rsidR="00977518" w:rsidRPr="00977518">
        <w:rPr>
          <w:lang w:val="ro-MD" w:eastAsia="ro-MD"/>
        </w:rPr>
        <w:t>-23</w:t>
      </w:r>
      <w:r w:rsidR="00977518" w:rsidRPr="00977518">
        <w:rPr>
          <w:vertAlign w:val="superscript"/>
          <w:lang w:val="ro-MD" w:eastAsia="ro-MD"/>
        </w:rPr>
        <w:t>8</w:t>
      </w:r>
      <w:r w:rsidR="00977518" w:rsidRPr="00977518">
        <w:rPr>
          <w:lang w:val="ro-MD" w:eastAsia="ro-MD"/>
        </w:rPr>
        <w:t>;</w:t>
      </w:r>
    </w:p>
    <w:p w14:paraId="710A9DEC" w14:textId="1599C695" w:rsidR="00977518" w:rsidRDefault="00E2075C" w:rsidP="00977518">
      <w:pPr>
        <w:jc w:val="both"/>
        <w:rPr>
          <w:lang w:val="ro-MD" w:eastAsia="ro-MD"/>
        </w:rPr>
      </w:pPr>
      <w:r>
        <w:rPr>
          <w:lang w:val="ro-MD" w:eastAsia="ro-MD"/>
        </w:rPr>
        <w:t>3</w:t>
      </w:r>
      <w:r w:rsidR="00977518" w:rsidRPr="00977518">
        <w:rPr>
          <w:lang w:val="ro-MD" w:eastAsia="ro-MD"/>
        </w:rPr>
        <w:t>) valoarea totală sau valoarea parțială a sumei capitalului și rezervelor este deținută de membrii societății, care nu beneficiază, în cursul activității obișnuite, de distribuirea directă a rezervelor, în special prin plata de dividende.</w:t>
      </w:r>
      <w:r w:rsidR="00977518">
        <w:rPr>
          <w:lang w:val="ro-MD" w:eastAsia="ro-MD"/>
        </w:rPr>
        <w:t>”.</w:t>
      </w:r>
    </w:p>
    <w:p w14:paraId="4C7920E1" w14:textId="1665FED5" w:rsidR="008073AA" w:rsidRDefault="008073AA" w:rsidP="008073AA">
      <w:pPr>
        <w:pStyle w:val="ListParagraph"/>
        <w:numPr>
          <w:ilvl w:val="1"/>
          <w:numId w:val="27"/>
        </w:numPr>
        <w:spacing w:before="80"/>
        <w:ind w:left="0" w:firstLine="567"/>
        <w:contextualSpacing w:val="0"/>
        <w:jc w:val="both"/>
        <w:rPr>
          <w:lang w:val="ro-MD" w:eastAsia="ro-MD"/>
        </w:rPr>
      </w:pPr>
      <w:r>
        <w:rPr>
          <w:lang w:val="ro-MD" w:eastAsia="ro-MD"/>
        </w:rPr>
        <w:t>Se completează cu anexa 4</w:t>
      </w:r>
      <w:r w:rsidRPr="00034EA2">
        <w:rPr>
          <w:vertAlign w:val="superscript"/>
          <w:lang w:val="ro-MD" w:eastAsia="ro-MD"/>
        </w:rPr>
        <w:t>1</w:t>
      </w:r>
      <w:r>
        <w:rPr>
          <w:lang w:val="ro-MD" w:eastAsia="ro-MD"/>
        </w:rPr>
        <w:t xml:space="preserve"> cu următorul cuprins:</w:t>
      </w:r>
    </w:p>
    <w:p w14:paraId="1D7277B4" w14:textId="77777777" w:rsidR="00654B48" w:rsidRPr="00654B48" w:rsidRDefault="00654B48" w:rsidP="00654B48">
      <w:pPr>
        <w:jc w:val="right"/>
        <w:rPr>
          <w:lang w:val="ro-RO" w:eastAsia="ro-MD"/>
        </w:rPr>
      </w:pPr>
      <w:r w:rsidRPr="00654B48">
        <w:rPr>
          <w:lang w:val="ro-RO" w:eastAsia="ro-MD"/>
        </w:rPr>
        <w:t>„Anexa 4</w:t>
      </w:r>
      <w:r w:rsidRPr="00654B48">
        <w:rPr>
          <w:vertAlign w:val="superscript"/>
          <w:lang w:val="ro-RO" w:eastAsia="ro-MD"/>
        </w:rPr>
        <w:t>1</w:t>
      </w:r>
    </w:p>
    <w:p w14:paraId="4B66EC10" w14:textId="77777777" w:rsidR="00654B48" w:rsidRPr="00654B48" w:rsidRDefault="00654B48" w:rsidP="00654B48">
      <w:pPr>
        <w:jc w:val="right"/>
        <w:rPr>
          <w:lang w:val="ro-RO" w:eastAsia="ro-MD"/>
        </w:rPr>
      </w:pPr>
      <w:r w:rsidRPr="00654B48">
        <w:rPr>
          <w:lang w:val="ro-RO" w:eastAsia="ro-MD"/>
        </w:rPr>
        <w:t>la Regulamentul cu privire la</w:t>
      </w:r>
    </w:p>
    <w:p w14:paraId="467AFA14" w14:textId="77777777" w:rsidR="00654B48" w:rsidRPr="00654B48" w:rsidRDefault="00654B48" w:rsidP="00654B48">
      <w:pPr>
        <w:jc w:val="right"/>
        <w:rPr>
          <w:lang w:val="ro-RO" w:eastAsia="ro-MD"/>
        </w:rPr>
      </w:pPr>
      <w:r w:rsidRPr="00654B48">
        <w:rPr>
          <w:lang w:val="ro-RO" w:eastAsia="ro-MD"/>
        </w:rPr>
        <w:t>fondurile proprii ale băncilor</w:t>
      </w:r>
    </w:p>
    <w:p w14:paraId="76D8AA0D" w14:textId="77777777" w:rsidR="00654B48" w:rsidRPr="00654B48" w:rsidRDefault="00654B48" w:rsidP="00654B48">
      <w:pPr>
        <w:jc w:val="right"/>
        <w:rPr>
          <w:lang w:val="ro-RO" w:eastAsia="ro-MD"/>
        </w:rPr>
      </w:pPr>
      <w:r w:rsidRPr="00654B48">
        <w:rPr>
          <w:lang w:val="ro-RO" w:eastAsia="ro-MD"/>
        </w:rPr>
        <w:t>și cerințele de capital</w:t>
      </w:r>
    </w:p>
    <w:p w14:paraId="4491099B" w14:textId="77777777" w:rsidR="00654B48" w:rsidRPr="00654B48" w:rsidRDefault="00654B48" w:rsidP="00654B48">
      <w:pPr>
        <w:jc w:val="center"/>
        <w:rPr>
          <w:b/>
          <w:bCs/>
          <w:lang w:val="ro-RO" w:eastAsia="ro-MD"/>
        </w:rPr>
      </w:pPr>
    </w:p>
    <w:p w14:paraId="0B2A485E" w14:textId="77777777" w:rsidR="00654B48" w:rsidRPr="00654B48" w:rsidRDefault="00654B48" w:rsidP="00654B48">
      <w:pPr>
        <w:jc w:val="center"/>
        <w:rPr>
          <w:b/>
          <w:bCs/>
          <w:lang w:val="ro-RO" w:eastAsia="ro-MD"/>
        </w:rPr>
      </w:pPr>
      <w:r w:rsidRPr="00654B48">
        <w:rPr>
          <w:b/>
          <w:bCs/>
          <w:lang w:val="ro-RO" w:eastAsia="ro-MD"/>
        </w:rPr>
        <w:t>Deducerea programelor informatice care sunt clasificate drept imobilizări necorporale în scopuri contabile în sensul punctului 30 subpunctul 2</w:t>
      </w:r>
    </w:p>
    <w:p w14:paraId="21A2F234" w14:textId="77777777" w:rsidR="00654B48" w:rsidRPr="00654B48" w:rsidRDefault="00654B48" w:rsidP="00654B48">
      <w:pPr>
        <w:ind w:firstLine="567"/>
        <w:jc w:val="both"/>
        <w:rPr>
          <w:lang w:val="ro-RO" w:eastAsia="ro-MD"/>
        </w:rPr>
      </w:pPr>
      <w:r w:rsidRPr="00654B48">
        <w:rPr>
          <w:b/>
          <w:bCs/>
          <w:lang w:val="ro-RO" w:eastAsia="ro-MD"/>
        </w:rPr>
        <w:t>1.</w:t>
      </w:r>
      <w:r w:rsidRPr="00654B48">
        <w:rPr>
          <w:lang w:val="ro-RO" w:eastAsia="ro-MD"/>
        </w:rPr>
        <w:t xml:space="preserve"> Programele informatice care sunt imobilizări necorporale, se deduc din elementele de fonduri proprii de nivel 1 de bază, în conformitate cu punctele 5- 9. Cuantumul care urmează a fi dedus se stabilește pe baza amortizării cumulate prudențiale, calculată în conformitate cu punctele 2 – 4.</w:t>
      </w:r>
    </w:p>
    <w:p w14:paraId="03327C00" w14:textId="77777777" w:rsidR="00654B48" w:rsidRPr="00654B48" w:rsidRDefault="00654B48" w:rsidP="00654B48">
      <w:pPr>
        <w:ind w:firstLine="567"/>
        <w:jc w:val="both"/>
        <w:rPr>
          <w:lang w:val="ro-RO" w:eastAsia="ro-MD"/>
        </w:rPr>
      </w:pPr>
      <w:r w:rsidRPr="00654B48">
        <w:rPr>
          <w:b/>
          <w:bCs/>
          <w:lang w:val="ro-RO" w:eastAsia="ro-MD"/>
        </w:rPr>
        <w:t>2.</w:t>
      </w:r>
      <w:r w:rsidRPr="00654B48">
        <w:rPr>
          <w:lang w:val="ro-RO" w:eastAsia="ro-MD"/>
        </w:rPr>
        <w:t xml:space="preserve"> Băncile calculează cuantumul amortizării cumulate prudențiale a programelor informatice înmulțind cuantumul obținut din calculul menționat la subpunctul 1) cu numărul de zile menționat la subpunctul 2):</w:t>
      </w:r>
    </w:p>
    <w:p w14:paraId="42CBCDF0" w14:textId="77777777" w:rsidR="00654B48" w:rsidRPr="00654B48" w:rsidRDefault="00654B48" w:rsidP="00654B48">
      <w:pPr>
        <w:ind w:firstLine="567"/>
        <w:jc w:val="both"/>
        <w:rPr>
          <w:lang w:val="ro-RO" w:eastAsia="ro-MD"/>
        </w:rPr>
      </w:pPr>
      <w:r w:rsidRPr="00654B48">
        <w:rPr>
          <w:lang w:val="ro-RO" w:eastAsia="ro-MD"/>
        </w:rPr>
        <w:t>1) valoarea la care a fost recunoscut inițial programul informatic în bilanțul băncii în temeiul cadrului contabil, împărțită la cea mai mică valoare dintre:</w:t>
      </w:r>
    </w:p>
    <w:p w14:paraId="1FA84409" w14:textId="77777777" w:rsidR="00654B48" w:rsidRPr="00654B48" w:rsidRDefault="00654B48" w:rsidP="00654B48">
      <w:pPr>
        <w:ind w:firstLine="567"/>
        <w:jc w:val="both"/>
        <w:rPr>
          <w:lang w:val="ro-RO" w:eastAsia="ro-MD"/>
        </w:rPr>
      </w:pPr>
      <w:r w:rsidRPr="00654B48">
        <w:rPr>
          <w:lang w:val="ro-RO" w:eastAsia="ro-MD"/>
        </w:rPr>
        <w:t>a) numărul de zile de viață utilă a programului informatic, astfel cum a fost estimat în scopuri contabile;</w:t>
      </w:r>
    </w:p>
    <w:p w14:paraId="1546E191" w14:textId="77777777" w:rsidR="00654B48" w:rsidRPr="00654B48" w:rsidRDefault="00654B48" w:rsidP="00654B48">
      <w:pPr>
        <w:ind w:firstLine="567"/>
        <w:jc w:val="both"/>
        <w:rPr>
          <w:lang w:val="ro-RO" w:eastAsia="ro-MD"/>
        </w:rPr>
      </w:pPr>
      <w:r w:rsidRPr="00654B48">
        <w:rPr>
          <w:lang w:val="ro-RO" w:eastAsia="ro-MD"/>
        </w:rPr>
        <w:t>b) trei ani, exprimați în zile, calculați începând cu data menționată la punctul 3;</w:t>
      </w:r>
    </w:p>
    <w:p w14:paraId="5B48386A" w14:textId="77777777" w:rsidR="00654B48" w:rsidRPr="00654B48" w:rsidRDefault="00654B48" w:rsidP="00654B48">
      <w:pPr>
        <w:ind w:firstLine="567"/>
        <w:jc w:val="both"/>
        <w:rPr>
          <w:lang w:val="ro-RO" w:eastAsia="ro-MD"/>
        </w:rPr>
      </w:pPr>
      <w:r w:rsidRPr="00654B48">
        <w:rPr>
          <w:lang w:val="ro-RO" w:eastAsia="ro-MD"/>
        </w:rPr>
        <w:lastRenderedPageBreak/>
        <w:t>2) numărul de zile scurse de la data menționată la punctul 3, cu condiția ca acesta să nu depășească perioada menționată la litera a) de la subpunctul 1).</w:t>
      </w:r>
    </w:p>
    <w:p w14:paraId="7CA911F2" w14:textId="77777777" w:rsidR="00654B48" w:rsidRPr="00654B48" w:rsidRDefault="00654B48" w:rsidP="00654B48">
      <w:pPr>
        <w:ind w:firstLine="567"/>
        <w:jc w:val="both"/>
        <w:rPr>
          <w:lang w:val="ro-RO" w:eastAsia="ro-MD"/>
        </w:rPr>
      </w:pPr>
      <w:r w:rsidRPr="00654B48">
        <w:rPr>
          <w:b/>
          <w:bCs/>
          <w:lang w:val="ro-RO" w:eastAsia="ro-MD"/>
        </w:rPr>
        <w:t>3.</w:t>
      </w:r>
      <w:r w:rsidRPr="00654B48">
        <w:rPr>
          <w:lang w:val="ro-RO" w:eastAsia="ro-MD"/>
        </w:rPr>
        <w:t xml:space="preserve"> Amortizarea cumulată prudențială menționată la punctul 1 se calculează începând cu data la care programul informatic este disponibil pentru utilizare și începe să fie amortizat în scopuri contabile.</w:t>
      </w:r>
    </w:p>
    <w:p w14:paraId="7D227024" w14:textId="77777777" w:rsidR="00654B48" w:rsidRPr="00654B48" w:rsidRDefault="00654B48" w:rsidP="00654B48">
      <w:pPr>
        <w:ind w:firstLine="567"/>
        <w:jc w:val="both"/>
        <w:rPr>
          <w:lang w:val="ro-RO" w:eastAsia="ro-MD"/>
        </w:rPr>
      </w:pPr>
      <w:r w:rsidRPr="00654B48">
        <w:rPr>
          <w:b/>
          <w:bCs/>
          <w:lang w:val="ro-RO" w:eastAsia="ro-MD"/>
        </w:rPr>
        <w:t>4.</w:t>
      </w:r>
      <w:r w:rsidRPr="00654B48">
        <w:rPr>
          <w:lang w:val="ro-RO" w:eastAsia="ro-MD"/>
        </w:rPr>
        <w:t xml:space="preserve"> Prin derogare de la punctul 3, în cazul în care un program informatic a fost achiziționat de la orice întreprindere, inclusiv de la o entitate dintr-un sector nefinanciar, care face parte din același grup ca și banca, amortizarea cumulată prudențială menționată la punctul 1 se calculează de la data la care programul informatic respectiv a început să fie amortizat în bilanțul întreprinderii respective în temeiul cadrului contabil aplicabil.</w:t>
      </w:r>
    </w:p>
    <w:p w14:paraId="2D34FF67" w14:textId="16CBF00E" w:rsidR="00654B48" w:rsidRPr="00654B48" w:rsidRDefault="00654B48" w:rsidP="00654B48">
      <w:pPr>
        <w:ind w:firstLine="567"/>
        <w:jc w:val="both"/>
        <w:rPr>
          <w:lang w:val="ro-RO" w:eastAsia="ro-MD"/>
        </w:rPr>
      </w:pPr>
      <w:r w:rsidRPr="00654B48">
        <w:rPr>
          <w:b/>
          <w:bCs/>
          <w:lang w:val="ro-RO" w:eastAsia="ro-MD"/>
        </w:rPr>
        <w:t>5.</w:t>
      </w:r>
      <w:r w:rsidRPr="00654B48">
        <w:rPr>
          <w:lang w:val="ro-RO" w:eastAsia="ro-MD"/>
        </w:rPr>
        <w:t xml:space="preserve"> Băncile deduc din elementele de fonduri proprii de nivel 1 de bază cuantumul care rezultă din diferența, dacă aceasta este pozitivă, dintre valoarea de la subpunctul 1) și valoarea de la subpunctul 2):</w:t>
      </w:r>
    </w:p>
    <w:p w14:paraId="6536E2AA" w14:textId="77777777" w:rsidR="00654B48" w:rsidRPr="00654B48" w:rsidRDefault="00654B48" w:rsidP="00654B48">
      <w:pPr>
        <w:ind w:firstLine="567"/>
        <w:jc w:val="both"/>
        <w:rPr>
          <w:lang w:val="ro-RO" w:eastAsia="ro-MD"/>
        </w:rPr>
      </w:pPr>
      <w:r w:rsidRPr="00654B48">
        <w:rPr>
          <w:lang w:val="ro-RO" w:eastAsia="ro-MD"/>
        </w:rPr>
        <w:t>1) amortizarea cumulată prudențială a unui program informatic calculată în conformitate cu punctele 2, 3 și 4;</w:t>
      </w:r>
    </w:p>
    <w:p w14:paraId="05A28235" w14:textId="77777777" w:rsidR="00654B48" w:rsidRPr="00654B48" w:rsidRDefault="00654B48" w:rsidP="00654B48">
      <w:pPr>
        <w:ind w:firstLine="567"/>
        <w:jc w:val="both"/>
        <w:rPr>
          <w:lang w:val="ro-RO" w:eastAsia="ro-MD"/>
        </w:rPr>
      </w:pPr>
      <w:r w:rsidRPr="00654B48">
        <w:rPr>
          <w:lang w:val="ro-RO" w:eastAsia="ro-MD"/>
        </w:rPr>
        <w:t>2) suma dintre amortizarea cumulată și orice pierderi din depreciere cumulate ale programului informatic respectiv, contabilizate în bilanțul băncii respective în temeiul cadrului contabil.</w:t>
      </w:r>
    </w:p>
    <w:p w14:paraId="4669D4B0" w14:textId="77777777" w:rsidR="00654B48" w:rsidRPr="00654B48" w:rsidRDefault="00654B48" w:rsidP="00654B48">
      <w:pPr>
        <w:ind w:firstLine="567"/>
        <w:jc w:val="both"/>
        <w:rPr>
          <w:lang w:val="ro-RO" w:eastAsia="ro-MD"/>
        </w:rPr>
      </w:pPr>
      <w:r w:rsidRPr="00654B48">
        <w:rPr>
          <w:b/>
          <w:bCs/>
          <w:lang w:val="ro-RO" w:eastAsia="ro-MD"/>
        </w:rPr>
        <w:t>6.</w:t>
      </w:r>
      <w:r w:rsidRPr="00654B48">
        <w:rPr>
          <w:lang w:val="ro-RO" w:eastAsia="ro-MD"/>
        </w:rPr>
        <w:t xml:space="preserve"> Prin derogare de la punctul 5, până la data la care programul informatic este disponibil pentru utilizare și începe să fie amortizat în scopuri contabile, băncile deduc din elementele de fonduri proprii de nivel 1 de bază cuantumul total la care programul informatic în cauză este contabilizat în bilanțul băncii în temeiul cadrului contabil.</w:t>
      </w:r>
    </w:p>
    <w:p w14:paraId="65114EEF" w14:textId="77777777" w:rsidR="00654B48" w:rsidRPr="00654B48" w:rsidRDefault="00654B48" w:rsidP="00654B48">
      <w:pPr>
        <w:ind w:firstLine="567"/>
        <w:jc w:val="both"/>
        <w:rPr>
          <w:lang w:val="ro-RO" w:eastAsia="ro-MD"/>
        </w:rPr>
      </w:pPr>
      <w:r w:rsidRPr="00654B48">
        <w:rPr>
          <w:b/>
          <w:bCs/>
          <w:lang w:val="ro-RO" w:eastAsia="ro-MD"/>
        </w:rPr>
        <w:t>7.</w:t>
      </w:r>
      <w:r w:rsidRPr="00654B48">
        <w:rPr>
          <w:lang w:val="ro-RO" w:eastAsia="ro-MD"/>
        </w:rPr>
        <w:t xml:space="preserve"> Amortizările prudențiale și deducerile prevăzute în prezenta anexă se efectuează separat pentru fiecare program informatic.</w:t>
      </w:r>
    </w:p>
    <w:p w14:paraId="640E0F59" w14:textId="77777777" w:rsidR="00654B48" w:rsidRPr="00654B48" w:rsidRDefault="00654B48" w:rsidP="00654B48">
      <w:pPr>
        <w:ind w:firstLine="567"/>
        <w:jc w:val="both"/>
        <w:rPr>
          <w:lang w:val="ro-RO" w:eastAsia="ro-MD"/>
        </w:rPr>
      </w:pPr>
      <w:r w:rsidRPr="00654B48">
        <w:rPr>
          <w:b/>
          <w:bCs/>
          <w:lang w:val="ro-RO" w:eastAsia="ro-MD"/>
        </w:rPr>
        <w:t>8.</w:t>
      </w:r>
      <w:r w:rsidRPr="00654B48">
        <w:rPr>
          <w:lang w:val="ro-RO" w:eastAsia="ro-MD"/>
        </w:rPr>
        <w:t xml:space="preserve"> Investițiile băncilor în întreținerea, îmbunătățirea sau modernizarea programelor informatice existente sunt tratate ca active, altele decât programele informatice aferente, cu condiția ca aceste investiții să fie recunoscute ca imobilizări necorporale în bilanțul băncii respective în temeiul cadrului contabil.</w:t>
      </w:r>
    </w:p>
    <w:p w14:paraId="0A6FB216" w14:textId="77777777" w:rsidR="00654B48" w:rsidRPr="00654B48" w:rsidRDefault="00654B48" w:rsidP="00654B48">
      <w:pPr>
        <w:ind w:firstLine="567"/>
        <w:jc w:val="both"/>
        <w:rPr>
          <w:lang w:val="ro-RO" w:eastAsia="ro-MD"/>
        </w:rPr>
      </w:pPr>
      <w:r w:rsidRPr="00654B48">
        <w:rPr>
          <w:b/>
          <w:bCs/>
          <w:lang w:val="ro-RO" w:eastAsia="ro-MD"/>
        </w:rPr>
        <w:t xml:space="preserve">9. </w:t>
      </w:r>
      <w:r w:rsidRPr="00654B48">
        <w:rPr>
          <w:lang w:val="ro-RO" w:eastAsia="ro-MD"/>
        </w:rPr>
        <w:t>Fără a aduce atingere punctului 6, amortizarea cumulată prudențială a acestor investiții în întreținerea, îmbunătățirea sau modernizarea programelor informatice existente se calculează de la data la care acestea încep să fie amortizate în temeiul cadrului contabil aplicabil.</w:t>
      </w:r>
    </w:p>
    <w:p w14:paraId="3E26093A" w14:textId="310DAC1C" w:rsidR="008073AA" w:rsidRPr="00654B48" w:rsidRDefault="00654B48" w:rsidP="00654B48">
      <w:pPr>
        <w:spacing w:before="80"/>
        <w:jc w:val="both"/>
        <w:rPr>
          <w:lang w:val="ro-RO" w:eastAsia="ro-MD"/>
        </w:rPr>
      </w:pPr>
      <w:r w:rsidRPr="00654B48">
        <w:rPr>
          <w:b/>
          <w:bCs/>
          <w:lang w:val="ro-RO" w:eastAsia="ro-MD"/>
        </w:rPr>
        <w:t xml:space="preserve">10. </w:t>
      </w:r>
      <w:r w:rsidRPr="00654B48">
        <w:rPr>
          <w:lang w:val="ro-RO" w:eastAsia="ro-MD"/>
        </w:rPr>
        <w:t>Amortizarea cumulată prudențială a programelor informatice existente aferente se calculează în continuare de la data propriei lor amortizări inițiale în scopuri contabile și până la sfârșitul perioadei de amortizare prudențială stabilită în conformitate cu punctul 2 subpunctul 1).</w:t>
      </w:r>
      <w:r w:rsidR="00C251D6">
        <w:rPr>
          <w:lang w:val="ro-RO" w:eastAsia="ro-MD"/>
        </w:rPr>
        <w:t>”.</w:t>
      </w:r>
    </w:p>
    <w:p w14:paraId="6D095F32" w14:textId="5BF13A51" w:rsidR="00FA337D" w:rsidRDefault="00A64774" w:rsidP="00C936FF">
      <w:pPr>
        <w:pStyle w:val="ListParagraph"/>
        <w:numPr>
          <w:ilvl w:val="1"/>
          <w:numId w:val="27"/>
        </w:numPr>
        <w:spacing w:before="80"/>
        <w:ind w:left="0" w:firstLine="567"/>
        <w:contextualSpacing w:val="0"/>
        <w:jc w:val="both"/>
        <w:rPr>
          <w:lang w:val="ro-MD" w:eastAsia="ro-MD"/>
        </w:rPr>
      </w:pPr>
      <w:r>
        <w:rPr>
          <w:lang w:val="ro-MD" w:eastAsia="ro-MD"/>
        </w:rPr>
        <w:t>În</w:t>
      </w:r>
      <w:r w:rsidR="00FA337D">
        <w:rPr>
          <w:lang w:val="ro-MD" w:eastAsia="ro-MD"/>
        </w:rPr>
        <w:t xml:space="preserve"> </w:t>
      </w:r>
      <w:r>
        <w:rPr>
          <w:lang w:val="ro-MD" w:eastAsia="ro-MD"/>
        </w:rPr>
        <w:t xml:space="preserve">anexa </w:t>
      </w:r>
      <w:r w:rsidR="00FA337D">
        <w:rPr>
          <w:lang w:val="ro-MD" w:eastAsia="ro-MD"/>
        </w:rPr>
        <w:t>5:</w:t>
      </w:r>
    </w:p>
    <w:p w14:paraId="1C1649CA" w14:textId="3013B13F" w:rsidR="00FA337D" w:rsidRPr="00974438" w:rsidRDefault="00974438" w:rsidP="00C936FF">
      <w:pPr>
        <w:pStyle w:val="ListParagraph"/>
        <w:numPr>
          <w:ilvl w:val="2"/>
          <w:numId w:val="27"/>
        </w:numPr>
        <w:ind w:left="0" w:firstLine="567"/>
        <w:jc w:val="both"/>
        <w:rPr>
          <w:lang w:val="ro-MD" w:eastAsia="ro-MD"/>
        </w:rPr>
      </w:pPr>
      <w:r>
        <w:rPr>
          <w:lang w:val="ro-MD" w:eastAsia="ro-MD"/>
        </w:rPr>
        <w:t>d</w:t>
      </w:r>
      <w:r w:rsidRPr="00974438">
        <w:rPr>
          <w:lang w:val="ro-MD" w:eastAsia="ro-MD"/>
        </w:rPr>
        <w:t xml:space="preserve">upă </w:t>
      </w:r>
      <w:r w:rsidR="002F266B" w:rsidRPr="00974438">
        <w:rPr>
          <w:lang w:val="ro-MD" w:eastAsia="ro-MD"/>
        </w:rPr>
        <w:t>d</w:t>
      </w:r>
      <w:r w:rsidR="00FA337D" w:rsidRPr="00974438">
        <w:rPr>
          <w:lang w:val="ro-MD" w:eastAsia="ro-MD"/>
        </w:rPr>
        <w:t>enumir</w:t>
      </w:r>
      <w:r w:rsidR="002F266B" w:rsidRPr="00974438">
        <w:rPr>
          <w:lang w:val="ro-MD" w:eastAsia="ro-MD"/>
        </w:rPr>
        <w:t>ea anexei 5</w:t>
      </w:r>
      <w:r w:rsidR="00A64774">
        <w:rPr>
          <w:lang w:val="ro-MD" w:eastAsia="ro-MD"/>
        </w:rPr>
        <w:t>,</w:t>
      </w:r>
      <w:r w:rsidR="002F266B" w:rsidRPr="00974438">
        <w:rPr>
          <w:lang w:val="ro-MD" w:eastAsia="ro-MD"/>
        </w:rPr>
        <w:t xml:space="preserve"> </w:t>
      </w:r>
      <w:r w:rsidRPr="00974438">
        <w:rPr>
          <w:lang w:val="ro-MD" w:eastAsia="ro-MD"/>
        </w:rPr>
        <w:t xml:space="preserve">se completează cu textul </w:t>
      </w:r>
      <w:r w:rsidR="002F266B" w:rsidRPr="00974438">
        <w:rPr>
          <w:lang w:val="ro-MD" w:eastAsia="ro-MD"/>
        </w:rPr>
        <w:t>„</w:t>
      </w:r>
      <w:r w:rsidR="00FA337D" w:rsidRPr="00390E13">
        <w:rPr>
          <w:b/>
          <w:bCs/>
          <w:i/>
          <w:iCs/>
          <w:lang w:val="ro-MD" w:eastAsia="ro-MD"/>
        </w:rPr>
        <w:t>Secțiunea 1</w:t>
      </w:r>
      <w:r w:rsidRPr="00390E13">
        <w:rPr>
          <w:b/>
          <w:bCs/>
          <w:i/>
          <w:iCs/>
        </w:rPr>
        <w:t xml:space="preserve"> </w:t>
      </w:r>
      <w:r w:rsidRPr="00390E13">
        <w:rPr>
          <w:b/>
          <w:bCs/>
          <w:i/>
          <w:iCs/>
          <w:lang w:val="ro-MD" w:eastAsia="ro-MD"/>
        </w:rPr>
        <w:t>Cererea pentru obținerea aprobării prealabile</w:t>
      </w:r>
      <w:r w:rsidR="00FA337D" w:rsidRPr="00974438">
        <w:rPr>
          <w:lang w:val="ro-MD" w:eastAsia="ro-MD"/>
        </w:rPr>
        <w:t>”;</w:t>
      </w:r>
    </w:p>
    <w:p w14:paraId="747DA382" w14:textId="10110C69" w:rsidR="00977518" w:rsidRPr="00876066" w:rsidRDefault="00974438" w:rsidP="00C936FF">
      <w:pPr>
        <w:pStyle w:val="ListParagraph"/>
        <w:numPr>
          <w:ilvl w:val="2"/>
          <w:numId w:val="27"/>
        </w:numPr>
        <w:ind w:left="0" w:firstLine="567"/>
        <w:jc w:val="both"/>
        <w:rPr>
          <w:lang w:val="ro-MD" w:eastAsia="ro-MD"/>
        </w:rPr>
      </w:pPr>
      <w:r>
        <w:rPr>
          <w:lang w:val="ro-MD" w:eastAsia="ro-MD"/>
        </w:rPr>
        <w:t>la</w:t>
      </w:r>
      <w:r w:rsidR="00FA337D" w:rsidRPr="00876066">
        <w:rPr>
          <w:lang w:val="ro-MD" w:eastAsia="ro-MD"/>
        </w:rPr>
        <w:t xml:space="preserve"> punctul 1</w:t>
      </w:r>
      <w:r w:rsidR="00A64774">
        <w:rPr>
          <w:lang w:val="ro-MD" w:eastAsia="ro-MD"/>
        </w:rPr>
        <w:t>,</w:t>
      </w:r>
      <w:r w:rsidR="00876066" w:rsidRPr="00876066">
        <w:rPr>
          <w:lang w:val="ro-MD" w:eastAsia="ro-MD"/>
        </w:rPr>
        <w:t xml:space="preserve"> cuvântul </w:t>
      </w:r>
      <w:r w:rsidR="00876066">
        <w:rPr>
          <w:lang w:val="ro-MD" w:eastAsia="ro-MD"/>
        </w:rPr>
        <w:t>„</w:t>
      </w:r>
      <w:r w:rsidR="00876066" w:rsidRPr="00876066">
        <w:rPr>
          <w:lang w:val="ro-MD" w:eastAsia="ro-MD"/>
        </w:rPr>
        <w:t>titularilor</w:t>
      </w:r>
      <w:r w:rsidR="00876066">
        <w:rPr>
          <w:lang w:val="ro-MD" w:eastAsia="ro-MD"/>
        </w:rPr>
        <w:t>” se substituie cu cuvântul „</w:t>
      </w:r>
      <w:r w:rsidR="00876066" w:rsidRPr="00876066">
        <w:rPr>
          <w:lang w:val="ro-RO" w:eastAsia="ro-MD"/>
        </w:rPr>
        <w:t>deținătorilor</w:t>
      </w:r>
      <w:r w:rsidR="00876066">
        <w:rPr>
          <w:lang w:val="ro-RO" w:eastAsia="ro-MD"/>
        </w:rPr>
        <w:t>”;</w:t>
      </w:r>
    </w:p>
    <w:p w14:paraId="4ED3C944" w14:textId="16740BF8" w:rsidR="00C12467" w:rsidRDefault="00876066" w:rsidP="00C12467">
      <w:pPr>
        <w:pStyle w:val="ListParagraph"/>
        <w:numPr>
          <w:ilvl w:val="2"/>
          <w:numId w:val="27"/>
        </w:numPr>
        <w:ind w:left="0" w:firstLine="567"/>
        <w:jc w:val="both"/>
        <w:rPr>
          <w:lang w:val="ro-MD" w:eastAsia="ro-MD"/>
        </w:rPr>
      </w:pPr>
      <w:r w:rsidRPr="00876066">
        <w:rPr>
          <w:lang w:val="ro-MD" w:eastAsia="ro-MD"/>
        </w:rPr>
        <w:t>punctul 2</w:t>
      </w:r>
      <w:r w:rsidR="00C12467">
        <w:rPr>
          <w:lang w:val="ro-MD" w:eastAsia="ro-MD"/>
        </w:rPr>
        <w:t xml:space="preserve"> va avea următorul cuprins:</w:t>
      </w:r>
    </w:p>
    <w:p w14:paraId="3D412249" w14:textId="28785E7F" w:rsidR="0093627E" w:rsidRPr="00C12467" w:rsidRDefault="00C12467" w:rsidP="00C12467">
      <w:pPr>
        <w:jc w:val="both"/>
        <w:rPr>
          <w:lang w:val="ro-MD" w:eastAsia="ro-MD"/>
        </w:rPr>
      </w:pPr>
      <w:r>
        <w:rPr>
          <w:lang w:val="ro-MD" w:eastAsia="ro-MD"/>
        </w:rPr>
        <w:t>„</w:t>
      </w:r>
      <w:r w:rsidRPr="00C12467">
        <w:rPr>
          <w:lang w:val="ro-MD" w:eastAsia="ro-MD"/>
        </w:rPr>
        <w:t>În cazul în care banca a obținut aprobarea prealabilă a Băncii Naționale a Moldovei, inclusiv aprobarea prealabilă generală și a anunțat public intenția sa de a rambursa, de a reduce sau de a răscumpăra un instrument de fonduri proprii, banca deduce sumele corespunzătoare care urmează să fie rambursate, reduse sau răscumpărate sau cuantumurile conturilor de prime de emisiune aferente care urmează să fie reduse sau distribuite, după caz, din elementele corespunzătoare ale fondurilor sale proprii înainte ca rambursarea, reducerea, sau răscumpărarea sau distribuirea efectivă să aibă loc.</w:t>
      </w:r>
      <w:r w:rsidR="00876066" w:rsidRPr="00C12467">
        <w:rPr>
          <w:lang w:val="ro-MD" w:eastAsia="ro-MD"/>
        </w:rPr>
        <w:t>”;</w:t>
      </w:r>
    </w:p>
    <w:p w14:paraId="5B7367C3" w14:textId="6BDD486A" w:rsidR="00876066" w:rsidRDefault="00876066" w:rsidP="00C936FF">
      <w:pPr>
        <w:pStyle w:val="ListParagraph"/>
        <w:numPr>
          <w:ilvl w:val="2"/>
          <w:numId w:val="27"/>
        </w:numPr>
        <w:ind w:left="0" w:firstLine="567"/>
        <w:jc w:val="both"/>
        <w:rPr>
          <w:lang w:val="ro-MD" w:eastAsia="ro-MD"/>
        </w:rPr>
      </w:pPr>
      <w:r>
        <w:rPr>
          <w:lang w:val="ro-MD" w:eastAsia="ro-MD"/>
        </w:rPr>
        <w:t>punctul 4</w:t>
      </w:r>
      <w:r w:rsidR="00974438">
        <w:rPr>
          <w:lang w:val="ro-MD" w:eastAsia="ro-MD"/>
        </w:rPr>
        <w:t xml:space="preserve"> va avea următorul cuprins</w:t>
      </w:r>
      <w:r>
        <w:rPr>
          <w:lang w:val="ro-MD" w:eastAsia="ro-MD"/>
        </w:rPr>
        <w:t>:</w:t>
      </w:r>
    </w:p>
    <w:p w14:paraId="56860FCB" w14:textId="1233E4CD" w:rsidR="00EB73E0" w:rsidRPr="00EB73E0" w:rsidRDefault="00EB73E0" w:rsidP="00EB73E0">
      <w:pPr>
        <w:jc w:val="both"/>
        <w:rPr>
          <w:lang w:val="ro-RO" w:eastAsia="ro-MD"/>
        </w:rPr>
      </w:pPr>
      <w:r w:rsidRPr="00EB73E0">
        <w:rPr>
          <w:lang w:eastAsia="ro-MD"/>
        </w:rPr>
        <w:t>„</w:t>
      </w:r>
      <w:r w:rsidRPr="00AE750B">
        <w:rPr>
          <w:b/>
          <w:bCs/>
          <w:lang w:eastAsia="ro-MD"/>
        </w:rPr>
        <w:t>4</w:t>
      </w:r>
      <w:r w:rsidRPr="00EB73E0">
        <w:rPr>
          <w:b/>
          <w:bCs/>
          <w:lang w:val="ro-RO" w:eastAsia="ro-MD"/>
        </w:rPr>
        <w:t>.</w:t>
      </w:r>
      <w:r w:rsidRPr="00EB73E0">
        <w:rPr>
          <w:lang w:val="ro-RO" w:eastAsia="ro-MD"/>
        </w:rPr>
        <w:t xml:space="preserve"> Cererea menționată la punctul 3 din prezenta anexă este însoțită de următoarele informații:</w:t>
      </w:r>
    </w:p>
    <w:p w14:paraId="7018B849" w14:textId="0123E764" w:rsidR="00EB73E0" w:rsidRPr="00EB73E0" w:rsidRDefault="00EB73E0" w:rsidP="009E3FAA">
      <w:pPr>
        <w:jc w:val="both"/>
        <w:rPr>
          <w:sz w:val="18"/>
          <w:szCs w:val="18"/>
          <w:lang w:val="ro-RO" w:eastAsia="ro-MD"/>
        </w:rPr>
      </w:pPr>
      <w:r w:rsidRPr="00EB73E0">
        <w:rPr>
          <w:lang w:val="ro-RO" w:eastAsia="ro-MD"/>
        </w:rPr>
        <w:lastRenderedPageBreak/>
        <w:t>1) o explicație bine justificată a motivelor pentru efectuarea uneia dintre operațiunile menționate la punctul 3;</w:t>
      </w:r>
    </w:p>
    <w:p w14:paraId="7F62BBAE" w14:textId="67940454" w:rsidR="00EB73E0" w:rsidRPr="00EB73E0" w:rsidRDefault="000F5215" w:rsidP="009E3FAA">
      <w:pPr>
        <w:jc w:val="both"/>
        <w:rPr>
          <w:sz w:val="18"/>
          <w:szCs w:val="18"/>
          <w:lang w:val="ro-RO" w:eastAsia="ro-MD"/>
        </w:rPr>
      </w:pPr>
      <w:bookmarkStart w:id="24" w:name="_Hlk207004552"/>
      <w:r>
        <w:rPr>
          <w:lang w:val="ro-RO" w:eastAsia="ro-MD"/>
        </w:rPr>
        <w:t>2</w:t>
      </w:r>
      <w:r w:rsidR="00EB73E0" w:rsidRPr="00EB73E0">
        <w:rPr>
          <w:lang w:val="ro-RO" w:eastAsia="ro-MD"/>
        </w:rPr>
        <w:t>)</w:t>
      </w:r>
      <w:r w:rsidR="00EB73E0" w:rsidRPr="00EB73E0">
        <w:rPr>
          <w:sz w:val="18"/>
          <w:szCs w:val="18"/>
          <w:lang w:val="ro-RO" w:eastAsia="ro-MD"/>
        </w:rPr>
        <w:t xml:space="preserve"> </w:t>
      </w:r>
      <w:r w:rsidR="00EB73E0" w:rsidRPr="00EB73E0">
        <w:rPr>
          <w:lang w:val="ro-RO" w:eastAsia="ro-MD"/>
        </w:rPr>
        <w:t>informații din care să reiasă dacă banca solicită o aprobare prealabilă sau o aprobare prealabilă generală</w:t>
      </w:r>
      <w:r w:rsidR="00FA6A87" w:rsidRPr="00FA6A87">
        <w:rPr>
          <w:lang w:val="ro-RO" w:eastAsia="ro-MD"/>
        </w:rPr>
        <w:t>, luând în considerare informațiile suplimentare care trebuie prezentate conform secțiunii 2, după caz</w:t>
      </w:r>
      <w:r w:rsidR="00EB73E0" w:rsidRPr="00FA6A87">
        <w:rPr>
          <w:lang w:val="ro-RO" w:eastAsia="ro-MD"/>
        </w:rPr>
        <w:t>;</w:t>
      </w:r>
    </w:p>
    <w:p w14:paraId="09C70976" w14:textId="5096438F" w:rsidR="00EB73E0" w:rsidRPr="00EB73E0" w:rsidRDefault="000F5215" w:rsidP="009E3FAA">
      <w:pPr>
        <w:jc w:val="both"/>
        <w:rPr>
          <w:lang w:val="ro-RO" w:eastAsia="ro-MD"/>
        </w:rPr>
      </w:pPr>
      <w:r>
        <w:rPr>
          <w:lang w:val="ro-RO" w:eastAsia="ro-MD"/>
        </w:rPr>
        <w:t>3</w:t>
      </w:r>
      <w:r w:rsidR="00EB73E0" w:rsidRPr="00EB73E0">
        <w:rPr>
          <w:lang w:val="ro-RO" w:eastAsia="ro-MD"/>
        </w:rPr>
        <w:t>)</w:t>
      </w:r>
      <w:r w:rsidR="00EB73E0" w:rsidRPr="00EB73E0">
        <w:rPr>
          <w:sz w:val="18"/>
          <w:szCs w:val="18"/>
          <w:lang w:val="ro-RO" w:eastAsia="ro-MD"/>
        </w:rPr>
        <w:t xml:space="preserve"> </w:t>
      </w:r>
      <w:r w:rsidR="00EB73E0" w:rsidRPr="00EB73E0">
        <w:rPr>
          <w:lang w:val="ro-RO" w:eastAsia="ro-MD"/>
        </w:rPr>
        <w:t>în cazul în care banca dorește să exercite o opțiune de cumpărare (</w:t>
      </w:r>
      <w:proofErr w:type="spellStart"/>
      <w:r w:rsidR="00EB73E0" w:rsidRPr="00EB73E0">
        <w:rPr>
          <w:lang w:val="ro-RO" w:eastAsia="ro-MD"/>
        </w:rPr>
        <w:t>call</w:t>
      </w:r>
      <w:proofErr w:type="spellEnd"/>
      <w:r w:rsidR="00EB73E0" w:rsidRPr="00EB73E0">
        <w:rPr>
          <w:lang w:val="ro-RO" w:eastAsia="ro-MD"/>
        </w:rPr>
        <w:t>), să ramburseze sau să răscumpere instrumente de fonduri proprii de nivel 1 suplimentar sau instrumente de fonduri proprii de nivel 2 sau conturi de prime de emisiune aferente în cursul celor cinci ani de la data emiterii acestora, modul în care sunt îndeplinite condițiile prevăzute la punctul 123;</w:t>
      </w:r>
      <w:bookmarkEnd w:id="24"/>
    </w:p>
    <w:p w14:paraId="33C2A219" w14:textId="5FF4A582" w:rsidR="00EB73E0" w:rsidRPr="00EB73E0" w:rsidRDefault="000F5215" w:rsidP="009E3FAA">
      <w:pPr>
        <w:jc w:val="both"/>
        <w:rPr>
          <w:sz w:val="18"/>
          <w:szCs w:val="18"/>
          <w:lang w:val="ro-RO" w:eastAsia="ro-MD"/>
        </w:rPr>
      </w:pPr>
      <w:r>
        <w:rPr>
          <w:lang w:val="ro-RO" w:eastAsia="ro-MD"/>
        </w:rPr>
        <w:t>4</w:t>
      </w:r>
      <w:r w:rsidR="00EB73E0" w:rsidRPr="00EB73E0">
        <w:rPr>
          <w:lang w:val="ro-RO" w:eastAsia="ro-MD"/>
        </w:rPr>
        <w:t xml:space="preserve">) informații privind cerințele de capital și </w:t>
      </w:r>
      <w:bookmarkStart w:id="25" w:name="_Hlk207004700"/>
      <w:r w:rsidR="00EB73E0" w:rsidRPr="00EB73E0">
        <w:rPr>
          <w:lang w:val="ro-RO" w:eastAsia="ro-MD"/>
        </w:rPr>
        <w:t xml:space="preserve">amortizoarele de capital, precum și cerința privind indicatorul efectului de levier, </w:t>
      </w:r>
      <w:bookmarkEnd w:id="25"/>
      <w:r w:rsidR="00EB73E0" w:rsidRPr="00EB73E0">
        <w:rPr>
          <w:lang w:val="ro-RO" w:eastAsia="ro-MD"/>
        </w:rPr>
        <w:t>care să acopere cel puțin o perioadă de 3 ani, inclusiv nivelul și componența fondurilor proprii înainte și după efectuarea acțiunii și impactul acțiunii asupra cerințelor de reglementare;</w:t>
      </w:r>
      <w:r w:rsidR="00EB73E0" w:rsidRPr="00EB73E0">
        <w:rPr>
          <w:sz w:val="18"/>
          <w:szCs w:val="18"/>
          <w:highlight w:val="lightGray"/>
          <w:lang w:val="ro-RO" w:eastAsia="ro-MD"/>
        </w:rPr>
        <w:t xml:space="preserve"> </w:t>
      </w:r>
    </w:p>
    <w:p w14:paraId="4CD175B1" w14:textId="74A41191" w:rsidR="00EB73E0" w:rsidRPr="00EB73E0" w:rsidRDefault="000F5215" w:rsidP="00EB73E0">
      <w:pPr>
        <w:jc w:val="both"/>
        <w:rPr>
          <w:sz w:val="18"/>
          <w:szCs w:val="18"/>
          <w:lang w:val="ro-RO" w:eastAsia="ro-MD"/>
        </w:rPr>
      </w:pPr>
      <w:bookmarkStart w:id="26" w:name="_Hlk207004933"/>
      <w:r>
        <w:rPr>
          <w:lang w:val="ro-RO" w:eastAsia="ro-MD"/>
        </w:rPr>
        <w:t>5</w:t>
      </w:r>
      <w:r w:rsidR="00EB73E0" w:rsidRPr="00EB73E0">
        <w:rPr>
          <w:lang w:val="ro-RO" w:eastAsia="ro-MD"/>
        </w:rPr>
        <w:t xml:space="preserve">) informații actuale și prospective privind nivelul și structura fondurilor proprii, precum și nivelul și structura fondurilor proprii și a pasivelor eligibile deținute pentru a asigura conformitatea cu cerințele menționate la subpunctul </w:t>
      </w:r>
      <w:r w:rsidR="00163C93">
        <w:rPr>
          <w:lang w:val="ro-RO" w:eastAsia="ro-MD"/>
        </w:rPr>
        <w:t>4)</w:t>
      </w:r>
      <w:r w:rsidR="00163C93" w:rsidRPr="00EB73E0">
        <w:rPr>
          <w:lang w:val="ro-RO" w:eastAsia="ro-MD"/>
        </w:rPr>
        <w:t xml:space="preserve"> </w:t>
      </w:r>
      <w:r w:rsidR="00EB73E0" w:rsidRPr="00EB73E0">
        <w:rPr>
          <w:lang w:val="ro-RO" w:eastAsia="ro-MD"/>
        </w:rPr>
        <w:t>înainte și, respectiv, după efectuarea oricăreia dintre acțiunile enumerate la punctul 119;</w:t>
      </w:r>
      <w:r w:rsidR="00EB73E0" w:rsidRPr="00EB73E0">
        <w:rPr>
          <w:sz w:val="18"/>
          <w:szCs w:val="18"/>
          <w:highlight w:val="lightGray"/>
          <w:lang w:val="ro-RO" w:eastAsia="ro-MD"/>
        </w:rPr>
        <w:t xml:space="preserve"> </w:t>
      </w:r>
    </w:p>
    <w:p w14:paraId="1A9CF4A0" w14:textId="054159F0" w:rsidR="00EB73E0" w:rsidRPr="00EB73E0" w:rsidRDefault="000F5215" w:rsidP="00EB73E0">
      <w:pPr>
        <w:jc w:val="both"/>
        <w:rPr>
          <w:lang w:val="ro-RO" w:eastAsia="ro-MD"/>
        </w:rPr>
      </w:pPr>
      <w:r>
        <w:rPr>
          <w:lang w:val="ro-RO" w:eastAsia="ro-MD"/>
        </w:rPr>
        <w:t>6</w:t>
      </w:r>
      <w:r w:rsidR="00EB73E0" w:rsidRPr="00EB73E0">
        <w:rPr>
          <w:lang w:val="ro-RO" w:eastAsia="ro-MD"/>
        </w:rPr>
        <w:t xml:space="preserve">) evaluarea sumară a băncii privind impactul acțiunii pe care banca intenționează să o întreprindă în conformitate cu punctul 119 și orice astfel de acțiuni pe care banca intenționează să le întreprindă în plus în termen de trei ani, în ceea ce privește respectarea cerințelor menționate la subpunctul </w:t>
      </w:r>
      <w:r w:rsidR="00163C93">
        <w:rPr>
          <w:lang w:val="ro-RO" w:eastAsia="ro-MD"/>
        </w:rPr>
        <w:t>4</w:t>
      </w:r>
      <w:r w:rsidR="00EB73E0" w:rsidRPr="00EB73E0">
        <w:rPr>
          <w:lang w:val="ro-RO" w:eastAsia="ro-MD"/>
        </w:rPr>
        <w:t>);</w:t>
      </w:r>
      <w:bookmarkEnd w:id="26"/>
    </w:p>
    <w:p w14:paraId="12615221" w14:textId="4E5AB28C" w:rsidR="00EB73E0" w:rsidRPr="00EB73E0" w:rsidRDefault="000F5215" w:rsidP="00EB73E0">
      <w:pPr>
        <w:jc w:val="both"/>
        <w:rPr>
          <w:lang w:val="ro-RO" w:eastAsia="ro-MD"/>
        </w:rPr>
      </w:pPr>
      <w:bookmarkStart w:id="27" w:name="_Hlk207005051"/>
      <w:r>
        <w:rPr>
          <w:lang w:val="ro-RO" w:eastAsia="ro-MD"/>
        </w:rPr>
        <w:t>7</w:t>
      </w:r>
      <w:r w:rsidR="00EB73E0" w:rsidRPr="00EB73E0">
        <w:rPr>
          <w:lang w:val="ro-RO" w:eastAsia="ro-MD"/>
        </w:rPr>
        <w:t>) în cazul în care banca dorește să înlocuiască instrumentele de fonduri proprii sau conturile de prime de emisiune aferente:</w:t>
      </w:r>
    </w:p>
    <w:p w14:paraId="3A9871B6" w14:textId="77777777" w:rsidR="00EB73E0" w:rsidRPr="00EB73E0" w:rsidRDefault="00EB73E0" w:rsidP="00EB73E0">
      <w:pPr>
        <w:jc w:val="both"/>
        <w:rPr>
          <w:lang w:val="ro-RO" w:eastAsia="ro-MD"/>
        </w:rPr>
      </w:pPr>
      <w:r w:rsidRPr="00EB73E0">
        <w:rPr>
          <w:lang w:val="ro-RO" w:eastAsia="ro-MD"/>
        </w:rPr>
        <w:t>a) informații privind scadența reziduală a instrumentelor de fonduri proprii înlocuite, dacă există, și scadența instrumentelor de fonduri proprii care le înlocuiesc;</w:t>
      </w:r>
    </w:p>
    <w:p w14:paraId="054F3607" w14:textId="77777777" w:rsidR="00EB73E0" w:rsidRPr="00EB73E0" w:rsidRDefault="00EB73E0" w:rsidP="00EB73E0">
      <w:pPr>
        <w:jc w:val="both"/>
        <w:rPr>
          <w:lang w:val="ro-RO" w:eastAsia="ro-MD"/>
        </w:rPr>
      </w:pPr>
      <w:r w:rsidRPr="00EB73E0">
        <w:rPr>
          <w:lang w:val="ro-RO" w:eastAsia="ro-MD"/>
        </w:rPr>
        <w:t>b) rangul în ierarhia creanțelor din procedura de insolvabilitate a instrumentelor de fonduri proprii înlocuite și a instrumentelor de fonduri proprii care le înlocuiesc;</w:t>
      </w:r>
    </w:p>
    <w:p w14:paraId="4AD85507" w14:textId="77777777" w:rsidR="00EB73E0" w:rsidRPr="00EB73E0" w:rsidRDefault="00EB73E0" w:rsidP="00EB73E0">
      <w:pPr>
        <w:jc w:val="both"/>
        <w:rPr>
          <w:lang w:val="ro-RO" w:eastAsia="ro-MD"/>
        </w:rPr>
      </w:pPr>
      <w:r w:rsidRPr="00EB73E0">
        <w:rPr>
          <w:lang w:val="ro-RO" w:eastAsia="ro-MD"/>
        </w:rPr>
        <w:t>c) costul instrumentelor de fonduri proprii care înlocuiesc instrumentele sau conturile de prime de emisiune;</w:t>
      </w:r>
    </w:p>
    <w:p w14:paraId="6842C701" w14:textId="77777777" w:rsidR="00EB73E0" w:rsidRPr="00EB73E0" w:rsidRDefault="00EB73E0" w:rsidP="00EB73E0">
      <w:pPr>
        <w:jc w:val="both"/>
        <w:rPr>
          <w:lang w:val="ro-RO" w:eastAsia="ro-MD"/>
        </w:rPr>
      </w:pPr>
      <w:r w:rsidRPr="00EB73E0">
        <w:rPr>
          <w:lang w:val="ro-RO" w:eastAsia="ro-MD"/>
        </w:rPr>
        <w:t>d) calendarul planificat pentru emiterea instrumentelor de fonduri proprii care înlocuiesc instrumentele sau conturile de prime de emisiune;</w:t>
      </w:r>
    </w:p>
    <w:p w14:paraId="64D96CEB" w14:textId="0880903C" w:rsidR="00EB73E0" w:rsidRPr="00EB73E0" w:rsidRDefault="00EB73E0" w:rsidP="00EB73E0">
      <w:pPr>
        <w:jc w:val="both"/>
        <w:rPr>
          <w:lang w:val="ro-RO" w:eastAsia="ro-MD"/>
        </w:rPr>
      </w:pPr>
      <w:r w:rsidRPr="00EB73E0">
        <w:rPr>
          <w:lang w:val="ro-RO" w:eastAsia="ro-MD"/>
        </w:rPr>
        <w:t xml:space="preserve">e) impactul înlocuirii unui instrument de capital asupra profitabilității băncii, conform punctului 120 din </w:t>
      </w:r>
      <w:r w:rsidR="000430D5" w:rsidRPr="00EB73E0">
        <w:rPr>
          <w:lang w:val="ro-RO" w:eastAsia="ro-MD"/>
        </w:rPr>
        <w:t>Regulament</w:t>
      </w:r>
      <w:r w:rsidR="000430D5">
        <w:rPr>
          <w:lang w:val="ro-RO" w:eastAsia="ro-MD"/>
        </w:rPr>
        <w:t xml:space="preserve">ul </w:t>
      </w:r>
      <w:r w:rsidR="000430D5" w:rsidRPr="00244939">
        <w:rPr>
          <w:rFonts w:eastAsia="Arial Unicode MS"/>
          <w:bCs/>
          <w:lang w:val="ro-RO"/>
        </w:rPr>
        <w:t>cu privire la fondurile proprii ale băncilor și cerințele de capital</w:t>
      </w:r>
      <w:r w:rsidRPr="00EB73E0">
        <w:rPr>
          <w:lang w:val="ro-RO" w:eastAsia="ro-MD"/>
        </w:rPr>
        <w:t>;</w:t>
      </w:r>
      <w:r w:rsidRPr="00EB73E0">
        <w:rPr>
          <w:sz w:val="18"/>
          <w:szCs w:val="18"/>
          <w:highlight w:val="lightGray"/>
          <w:lang w:val="ro-RO" w:eastAsia="ro-MD"/>
        </w:rPr>
        <w:t xml:space="preserve"> </w:t>
      </w:r>
      <w:bookmarkEnd w:id="27"/>
    </w:p>
    <w:p w14:paraId="0434615F" w14:textId="472A0C70" w:rsidR="00EB73E0" w:rsidRPr="00EB73E0" w:rsidRDefault="000F5215" w:rsidP="00EB73E0">
      <w:pPr>
        <w:jc w:val="both"/>
        <w:rPr>
          <w:lang w:val="ro-RO" w:eastAsia="ro-MD"/>
        </w:rPr>
      </w:pPr>
      <w:r>
        <w:rPr>
          <w:lang w:val="ro-RO" w:eastAsia="ro-MD"/>
        </w:rPr>
        <w:t>8</w:t>
      </w:r>
      <w:r w:rsidR="00EB73E0" w:rsidRPr="00EB73E0">
        <w:rPr>
          <w:lang w:val="ro-RO" w:eastAsia="ro-MD"/>
        </w:rPr>
        <w:t>) o evaluare a riscurilor la care banca este expusă sau la care ar putea fi expusă, precum și dacă nivelul fondurilor proprii asigură o acoperire corespunzătoare a acestor riscuri, inclusiv simulări de criză cu privire la principalele riscuri care să evidențieze pierderile potențiale în funcție de diferitele scenarii;</w:t>
      </w:r>
    </w:p>
    <w:p w14:paraId="23B18FA7" w14:textId="77777777" w:rsidR="00EB73E0" w:rsidRPr="00EB73E0" w:rsidRDefault="00684771" w:rsidP="00C936FF">
      <w:pPr>
        <w:pStyle w:val="ListParagraph"/>
        <w:numPr>
          <w:ilvl w:val="2"/>
          <w:numId w:val="27"/>
        </w:numPr>
        <w:ind w:left="0" w:firstLine="567"/>
        <w:jc w:val="both"/>
        <w:rPr>
          <w:lang w:val="ro-MD" w:eastAsia="ro-MD"/>
        </w:rPr>
      </w:pPr>
      <w:r w:rsidRPr="00EB73E0">
        <w:rPr>
          <w:lang w:val="ro-MD" w:eastAsia="ro-MD"/>
        </w:rPr>
        <w:t>punctul 6</w:t>
      </w:r>
      <w:r w:rsidR="00EB73E0">
        <w:rPr>
          <w:lang w:val="ro-MD" w:eastAsia="ro-MD"/>
        </w:rPr>
        <w:t xml:space="preserve"> va avea următorul cuprins</w:t>
      </w:r>
      <w:r w:rsidR="000B2A22" w:rsidRPr="00EB73E0">
        <w:rPr>
          <w:lang w:val="ro-MD" w:eastAsia="ro-MD"/>
        </w:rPr>
        <w:t>:</w:t>
      </w:r>
      <w:r w:rsidR="00EB73E0" w:rsidRPr="00EB73E0">
        <w:t xml:space="preserve"> </w:t>
      </w:r>
    </w:p>
    <w:p w14:paraId="00C635B5" w14:textId="79B08A7A" w:rsidR="000B2A22" w:rsidRPr="00EB73E0" w:rsidRDefault="00EB73E0" w:rsidP="00EB73E0">
      <w:pPr>
        <w:jc w:val="both"/>
        <w:rPr>
          <w:lang w:val="ro-MD" w:eastAsia="ro-MD"/>
        </w:rPr>
      </w:pPr>
      <w:r w:rsidRPr="00EB73E0">
        <w:rPr>
          <w:lang w:val="ro-MD" w:eastAsia="ro-MD"/>
        </w:rPr>
        <w:t>„</w:t>
      </w:r>
      <w:r w:rsidRPr="00EB73E0">
        <w:rPr>
          <w:b/>
          <w:bCs/>
          <w:lang w:val="ro-MD" w:eastAsia="ro-MD"/>
        </w:rPr>
        <w:t>6.</w:t>
      </w:r>
      <w:r w:rsidRPr="00EB73E0">
        <w:rPr>
          <w:lang w:val="ro-MD" w:eastAsia="ro-MD"/>
        </w:rPr>
        <w:t xml:space="preserve"> Banca Națională a Moldovei va examina cererea menționată la punctul 3 din prezenta anexă în termen de cel mult 40 de zile lucrătoare de la data depunerii cererii însoțite de toate documentele care trebuie prezentate Băncii Naționale a Moldovei. Termenul poate fi prelungit cu cel mult 10 zile lucrătoare, cu informarea ulterioară a băncii cu cel puțin 3 zile înainte de expirarea termenului de examinare a cererii.</w:t>
      </w:r>
      <w:r>
        <w:rPr>
          <w:lang w:val="ro-MD" w:eastAsia="ro-MD"/>
        </w:rPr>
        <w:t>”;</w:t>
      </w:r>
    </w:p>
    <w:p w14:paraId="78F642DF" w14:textId="6AD75E99" w:rsidR="000B2A22" w:rsidRDefault="000B2A22" w:rsidP="00C936FF">
      <w:pPr>
        <w:pStyle w:val="ListParagraph"/>
        <w:numPr>
          <w:ilvl w:val="2"/>
          <w:numId w:val="27"/>
        </w:numPr>
        <w:ind w:left="0" w:firstLine="567"/>
        <w:jc w:val="both"/>
        <w:rPr>
          <w:lang w:val="ro-MD" w:eastAsia="ro-MD"/>
        </w:rPr>
      </w:pPr>
      <w:r>
        <w:rPr>
          <w:lang w:val="ro-MD" w:eastAsia="ro-MD"/>
        </w:rPr>
        <w:t xml:space="preserve">se completează cu </w:t>
      </w:r>
      <w:r w:rsidR="00A64774">
        <w:rPr>
          <w:lang w:val="ro-MD" w:eastAsia="ro-MD"/>
        </w:rPr>
        <w:t xml:space="preserve">secțiunile </w:t>
      </w:r>
      <w:r>
        <w:rPr>
          <w:lang w:val="ro-MD" w:eastAsia="ro-MD"/>
        </w:rPr>
        <w:t>2, 3 și 4 cu următorul cuprins:</w:t>
      </w:r>
    </w:p>
    <w:p w14:paraId="0215D395" w14:textId="1769DD58" w:rsidR="000B2A22" w:rsidRPr="00390E13" w:rsidRDefault="000B2A22" w:rsidP="000B2A22">
      <w:pPr>
        <w:jc w:val="center"/>
        <w:rPr>
          <w:b/>
          <w:bCs/>
          <w:i/>
          <w:iCs/>
          <w:lang w:val="ro-MD" w:eastAsia="ro-MD"/>
        </w:rPr>
      </w:pPr>
      <w:r>
        <w:rPr>
          <w:lang w:val="ro-MD" w:eastAsia="ro-MD"/>
        </w:rPr>
        <w:t>„</w:t>
      </w:r>
      <w:r w:rsidRPr="00390E13">
        <w:rPr>
          <w:b/>
          <w:bCs/>
          <w:i/>
          <w:iCs/>
          <w:lang w:val="ro-MD" w:eastAsia="ro-MD"/>
        </w:rPr>
        <w:t>Secțiunea 2</w:t>
      </w:r>
    </w:p>
    <w:p w14:paraId="1A62B68D" w14:textId="77777777" w:rsidR="000B2A22" w:rsidRPr="00390E13" w:rsidRDefault="000B2A22" w:rsidP="000B2A22">
      <w:pPr>
        <w:jc w:val="center"/>
        <w:rPr>
          <w:b/>
          <w:bCs/>
          <w:i/>
          <w:iCs/>
          <w:lang w:val="ro-MD" w:eastAsia="ro-MD"/>
        </w:rPr>
      </w:pPr>
      <w:r w:rsidRPr="00390E13">
        <w:rPr>
          <w:b/>
          <w:bCs/>
          <w:i/>
          <w:iCs/>
          <w:lang w:val="ro-MD" w:eastAsia="ro-MD"/>
        </w:rPr>
        <w:t xml:space="preserve">Informații suplimentare care trebuie prezentate </w:t>
      </w:r>
    </w:p>
    <w:p w14:paraId="5801F446" w14:textId="77777777" w:rsidR="000B2A22" w:rsidRPr="00390E13" w:rsidRDefault="000B2A22" w:rsidP="000B2A22">
      <w:pPr>
        <w:jc w:val="center"/>
        <w:rPr>
          <w:b/>
          <w:bCs/>
          <w:i/>
          <w:iCs/>
          <w:lang w:val="ro-MD" w:eastAsia="ro-MD"/>
        </w:rPr>
      </w:pPr>
      <w:r w:rsidRPr="00390E13">
        <w:rPr>
          <w:b/>
          <w:bCs/>
          <w:i/>
          <w:iCs/>
          <w:lang w:val="ro-MD" w:eastAsia="ro-MD"/>
        </w:rPr>
        <w:t xml:space="preserve">împreună cu o cerere de aprobare prealabilă generală </w:t>
      </w:r>
    </w:p>
    <w:p w14:paraId="01506A6C" w14:textId="38F5DC8B" w:rsidR="000B2A22" w:rsidRPr="000B2A22" w:rsidRDefault="00FD1059" w:rsidP="00AA0E63">
      <w:pPr>
        <w:jc w:val="both"/>
        <w:rPr>
          <w:lang w:val="ro-MD" w:eastAsia="ro-MD"/>
        </w:rPr>
      </w:pPr>
      <w:r>
        <w:rPr>
          <w:b/>
          <w:bCs/>
          <w:lang w:val="ro-MD" w:eastAsia="ro-MD"/>
        </w:rPr>
        <w:lastRenderedPageBreak/>
        <w:t>8</w:t>
      </w:r>
      <w:r w:rsidR="000B2A22" w:rsidRPr="000B2A22">
        <w:rPr>
          <w:b/>
          <w:bCs/>
          <w:lang w:val="ro-MD" w:eastAsia="ro-MD"/>
        </w:rPr>
        <w:t>.</w:t>
      </w:r>
      <w:r w:rsidR="000B2A22" w:rsidRPr="000B2A22">
        <w:rPr>
          <w:lang w:val="ro-MD" w:eastAsia="ro-MD"/>
        </w:rPr>
        <w:t xml:space="preserve"> În cazul în care se solicită o aprobare prealabilă generală, pentru o acțiune în temeiul punctului 119 subpunctul 1) din regulamentul respectiv, cererea precizează cuantumul fiecărei emisiuni relevante de fonduri proprii de nivel 1 de bază care face obiectul cererii respective.</w:t>
      </w:r>
      <w:r w:rsidR="000B2A22" w:rsidRPr="000B2A22">
        <w:rPr>
          <w:sz w:val="18"/>
          <w:szCs w:val="18"/>
          <w:highlight w:val="lightGray"/>
          <w:lang w:val="ro-MD" w:eastAsia="ro-MD"/>
        </w:rPr>
        <w:t xml:space="preserve"> </w:t>
      </w:r>
    </w:p>
    <w:p w14:paraId="050F61CB" w14:textId="40B6C501" w:rsidR="000B2A22" w:rsidRPr="000B2A22" w:rsidRDefault="00FD1059" w:rsidP="00AA0E63">
      <w:pPr>
        <w:jc w:val="both"/>
        <w:rPr>
          <w:lang w:val="ro-MD" w:eastAsia="ro-MD"/>
        </w:rPr>
      </w:pPr>
      <w:r>
        <w:rPr>
          <w:b/>
          <w:bCs/>
          <w:lang w:val="ro-MD" w:eastAsia="ro-MD"/>
        </w:rPr>
        <w:t>9</w:t>
      </w:r>
      <w:r w:rsidR="00AA0E63" w:rsidRPr="00AA0E63">
        <w:rPr>
          <w:b/>
          <w:bCs/>
          <w:lang w:val="ro-MD" w:eastAsia="ro-MD"/>
        </w:rPr>
        <w:t>.</w:t>
      </w:r>
      <w:r w:rsidR="00AA0E63" w:rsidRPr="00AA0E63">
        <w:rPr>
          <w:lang w:val="ro-MD" w:eastAsia="ro-MD"/>
        </w:rPr>
        <w:t xml:space="preserve"> În cazul în care se solicită aprobarea prealabilă generală pentru o acțiune în temeiul </w:t>
      </w:r>
      <w:r w:rsidR="004B35DA">
        <w:rPr>
          <w:lang w:val="ro-MD" w:eastAsia="ro-MD"/>
        </w:rPr>
        <w:t xml:space="preserve">punctului </w:t>
      </w:r>
      <w:r w:rsidR="000B2A22" w:rsidRPr="000B2A22">
        <w:rPr>
          <w:lang w:val="ro-MD" w:eastAsia="ro-MD"/>
        </w:rPr>
        <w:t>119 subpunctul 2), în cerere se precizează următoare elemente:</w:t>
      </w:r>
    </w:p>
    <w:p w14:paraId="3A2750D6" w14:textId="2659B9B1" w:rsidR="000B2A22" w:rsidRPr="000B2A22" w:rsidRDefault="004B35DA" w:rsidP="004B35DA">
      <w:pPr>
        <w:jc w:val="both"/>
        <w:rPr>
          <w:lang w:val="ro-MD" w:eastAsia="ro-MD"/>
        </w:rPr>
      </w:pPr>
      <w:r>
        <w:rPr>
          <w:lang w:val="ro-MD" w:eastAsia="ro-MD"/>
        </w:rPr>
        <w:t>1</w:t>
      </w:r>
      <w:r w:rsidR="000B2A22" w:rsidRPr="000B2A22">
        <w:rPr>
          <w:lang w:val="ro-MD" w:eastAsia="ro-MD"/>
        </w:rPr>
        <w:t>) cuantumul aferent fiecărei emisiuni în circulație relevante care face obiectul cererii;</w:t>
      </w:r>
    </w:p>
    <w:p w14:paraId="1154E789" w14:textId="2EE43791" w:rsidR="000B2A22" w:rsidRPr="000B2A22" w:rsidRDefault="004B35DA" w:rsidP="004B35DA">
      <w:pPr>
        <w:jc w:val="both"/>
        <w:rPr>
          <w:lang w:val="ro-MD" w:eastAsia="ro-MD"/>
        </w:rPr>
      </w:pPr>
      <w:r>
        <w:rPr>
          <w:lang w:val="ro-MD" w:eastAsia="ro-MD"/>
        </w:rPr>
        <w:t>2</w:t>
      </w:r>
      <w:r w:rsidR="000B2A22" w:rsidRPr="000B2A22">
        <w:rPr>
          <w:lang w:val="ro-MD" w:eastAsia="ro-MD"/>
        </w:rPr>
        <w:t>) valoarea contabilă totală a instrumentelor în circulație la fiecare nivel de capital relevant.</w:t>
      </w:r>
    </w:p>
    <w:p w14:paraId="0143396E" w14:textId="5467DF18" w:rsidR="000B2A22" w:rsidRPr="000B2A22" w:rsidRDefault="00FD1059" w:rsidP="004B35DA">
      <w:pPr>
        <w:jc w:val="both"/>
        <w:rPr>
          <w:lang w:val="ro-MD" w:eastAsia="ro-MD"/>
        </w:rPr>
      </w:pPr>
      <w:r>
        <w:rPr>
          <w:b/>
          <w:bCs/>
          <w:lang w:val="ro-MD" w:eastAsia="ro-MD"/>
        </w:rPr>
        <w:t>10</w:t>
      </w:r>
      <w:r w:rsidR="000B2A22" w:rsidRPr="000B2A22">
        <w:rPr>
          <w:b/>
          <w:bCs/>
          <w:lang w:val="ro-MD" w:eastAsia="ro-MD"/>
        </w:rPr>
        <w:t>.</w:t>
      </w:r>
      <w:r w:rsidR="000B2A22" w:rsidRPr="000B2A22">
        <w:rPr>
          <w:lang w:val="ro-MD" w:eastAsia="ro-MD"/>
        </w:rPr>
        <w:t xml:space="preserve"> O cerere de aprobare prealabilă generală poate include instrumente de fonduri proprii care urmează să fie emise, sub rezerva specificării informațiilor menționate la punctul </w:t>
      </w:r>
      <w:r w:rsidR="00753E70">
        <w:rPr>
          <w:lang w:val="ro-MD" w:eastAsia="ro-MD"/>
        </w:rPr>
        <w:t>9</w:t>
      </w:r>
      <w:r w:rsidR="000B2A22" w:rsidRPr="000B2A22">
        <w:rPr>
          <w:lang w:val="ro-MD" w:eastAsia="ro-MD"/>
        </w:rPr>
        <w:t>, după caz, care trebuie furnizate Băncii Naționale a Moldovei în urma emiterii relevante.</w:t>
      </w:r>
      <w:r w:rsidR="000B2A22" w:rsidRPr="000B2A22">
        <w:rPr>
          <w:sz w:val="18"/>
          <w:szCs w:val="18"/>
          <w:highlight w:val="lightGray"/>
          <w:lang w:val="ro-MD" w:eastAsia="ro-MD"/>
        </w:rPr>
        <w:t xml:space="preserve"> </w:t>
      </w:r>
    </w:p>
    <w:p w14:paraId="0AFEEF74" w14:textId="535D3E47" w:rsidR="000B2A22" w:rsidRPr="00390E13" w:rsidRDefault="000B2A22" w:rsidP="00D04771">
      <w:pPr>
        <w:spacing w:before="120"/>
        <w:jc w:val="center"/>
        <w:rPr>
          <w:b/>
          <w:bCs/>
          <w:i/>
          <w:iCs/>
          <w:lang w:val="ro-MD" w:eastAsia="ro-MD"/>
        </w:rPr>
      </w:pPr>
      <w:r w:rsidRPr="00390E13">
        <w:rPr>
          <w:b/>
          <w:bCs/>
          <w:i/>
          <w:iCs/>
          <w:lang w:val="ro-MD" w:eastAsia="ro-MD"/>
        </w:rPr>
        <w:t>Secțiunea 3</w:t>
      </w:r>
    </w:p>
    <w:p w14:paraId="7134FB59" w14:textId="77777777" w:rsidR="000B2A22" w:rsidRPr="00390E13" w:rsidRDefault="000B2A22" w:rsidP="000B2A22">
      <w:pPr>
        <w:jc w:val="center"/>
        <w:rPr>
          <w:b/>
          <w:bCs/>
          <w:i/>
          <w:iCs/>
          <w:lang w:val="ro-MD" w:eastAsia="ro-MD"/>
        </w:rPr>
      </w:pPr>
      <w:r w:rsidRPr="00390E13">
        <w:rPr>
          <w:b/>
          <w:bCs/>
          <w:i/>
          <w:iCs/>
          <w:lang w:val="ro-MD" w:eastAsia="ro-MD"/>
        </w:rPr>
        <w:t xml:space="preserve">Informații care trebuie prezentate împreună cu </w:t>
      </w:r>
    </w:p>
    <w:p w14:paraId="189B723E" w14:textId="77777777" w:rsidR="000B2A22" w:rsidRPr="00390E13" w:rsidRDefault="000B2A22" w:rsidP="000B2A22">
      <w:pPr>
        <w:jc w:val="center"/>
        <w:rPr>
          <w:b/>
          <w:bCs/>
          <w:i/>
          <w:iCs/>
          <w:lang w:val="ro-MD" w:eastAsia="ro-MD"/>
        </w:rPr>
      </w:pPr>
      <w:r w:rsidRPr="00390E13">
        <w:rPr>
          <w:b/>
          <w:bCs/>
          <w:i/>
          <w:iCs/>
          <w:lang w:val="ro-MD" w:eastAsia="ro-MD"/>
        </w:rPr>
        <w:t>o cerere de reînnoire a aprobării prealabile generale</w:t>
      </w:r>
    </w:p>
    <w:p w14:paraId="5BEB7787" w14:textId="2FE687B1" w:rsidR="000B2A22" w:rsidRPr="000B2A22" w:rsidRDefault="00FD1059" w:rsidP="000B2A22">
      <w:pPr>
        <w:ind w:firstLine="567"/>
        <w:jc w:val="both"/>
        <w:rPr>
          <w:lang w:val="ro-MD" w:eastAsia="ro-MD"/>
        </w:rPr>
      </w:pPr>
      <w:r>
        <w:rPr>
          <w:b/>
          <w:bCs/>
          <w:lang w:val="ro-MD" w:eastAsia="ro-MD"/>
        </w:rPr>
        <w:t>1</w:t>
      </w:r>
      <w:r w:rsidR="000B2A22" w:rsidRPr="000B2A22">
        <w:rPr>
          <w:b/>
          <w:bCs/>
          <w:lang w:val="ro-MD" w:eastAsia="ro-MD"/>
        </w:rPr>
        <w:t>1.</w:t>
      </w:r>
      <w:r w:rsidR="000B2A22" w:rsidRPr="000B2A22">
        <w:rPr>
          <w:lang w:val="ro-MD" w:eastAsia="ro-MD"/>
        </w:rPr>
        <w:t xml:space="preserve"> Înainte de expirarea unei aprobări prealabile generale, banca poate depune o cerere de reînnoire a acesteia pentru o perioadă suplimentară de până la un an de fiecare dată, cu condiția ca banca să nu solicite o majorare a cuantumului prestabilit prevăzut în momentul în care a fost acordată aprobarea prealabilă generală și să nu modifice motivele menționate la punctul 4 subpunctul 1 din secțiunea 1, prezentate atunci când a fost solicitată aprobarea prealabilă generală inițială.</w:t>
      </w:r>
      <w:r w:rsidR="000B2A22" w:rsidRPr="000B2A22">
        <w:rPr>
          <w:sz w:val="18"/>
          <w:szCs w:val="18"/>
          <w:highlight w:val="lightGray"/>
          <w:lang w:val="ro-MD" w:eastAsia="ro-MD"/>
        </w:rPr>
        <w:t xml:space="preserve"> </w:t>
      </w:r>
    </w:p>
    <w:p w14:paraId="73556802" w14:textId="79C15896" w:rsidR="000B2A22" w:rsidRPr="000B2A22" w:rsidRDefault="00FD1059" w:rsidP="000B2A22">
      <w:pPr>
        <w:ind w:firstLine="567"/>
        <w:jc w:val="both"/>
        <w:rPr>
          <w:sz w:val="18"/>
          <w:szCs w:val="18"/>
          <w:lang w:val="ro-MD" w:eastAsia="ro-MD"/>
        </w:rPr>
      </w:pPr>
      <w:r>
        <w:rPr>
          <w:b/>
          <w:bCs/>
          <w:lang w:val="ro-MD" w:eastAsia="ro-MD"/>
        </w:rPr>
        <w:t>1</w:t>
      </w:r>
      <w:r w:rsidR="000B2A22" w:rsidRPr="000B2A22">
        <w:rPr>
          <w:b/>
          <w:bCs/>
          <w:lang w:val="ro-MD" w:eastAsia="ro-MD"/>
        </w:rPr>
        <w:t>2.</w:t>
      </w:r>
      <w:r w:rsidR="000B2A22" w:rsidRPr="000B2A22">
        <w:rPr>
          <w:lang w:val="ro-MD" w:eastAsia="ro-MD"/>
        </w:rPr>
        <w:t xml:space="preserve"> Atunci când solicită reînnoirea aprobării prealabile generale, banca nu are obligația de a furniza informațiile menționate la punctul 4 subpunctele 1)-</w:t>
      </w:r>
      <w:r w:rsidR="005525F4">
        <w:rPr>
          <w:lang w:val="ro-MD" w:eastAsia="ro-MD"/>
        </w:rPr>
        <w:t>4</w:t>
      </w:r>
      <w:r w:rsidR="000B2A22" w:rsidRPr="000B2A22">
        <w:rPr>
          <w:lang w:val="ro-MD" w:eastAsia="ro-MD"/>
        </w:rPr>
        <w:t xml:space="preserve">), </w:t>
      </w:r>
      <w:r w:rsidR="005525F4">
        <w:rPr>
          <w:lang w:val="ro-MD" w:eastAsia="ro-MD"/>
        </w:rPr>
        <w:t>6</w:t>
      </w:r>
      <w:r w:rsidR="000B2A22" w:rsidRPr="000B2A22">
        <w:rPr>
          <w:lang w:val="ro-MD" w:eastAsia="ro-MD"/>
        </w:rPr>
        <w:t xml:space="preserve">) și </w:t>
      </w:r>
      <w:r w:rsidR="007B14DC">
        <w:rPr>
          <w:lang w:val="ro-MD" w:eastAsia="ro-MD"/>
        </w:rPr>
        <w:t>7</w:t>
      </w:r>
      <w:r w:rsidR="000B2A22" w:rsidRPr="000B2A22">
        <w:rPr>
          <w:lang w:val="ro-MD" w:eastAsia="ro-MD"/>
        </w:rPr>
        <w:t xml:space="preserve">) </w:t>
      </w:r>
      <w:r w:rsidR="00A64774">
        <w:rPr>
          <w:lang w:val="ro-MD" w:eastAsia="ro-MD"/>
        </w:rPr>
        <w:t>d</w:t>
      </w:r>
      <w:r w:rsidR="000B2A22" w:rsidRPr="000B2A22">
        <w:rPr>
          <w:lang w:val="ro-MD" w:eastAsia="ro-MD"/>
        </w:rPr>
        <w:t>in secțiunea 1.</w:t>
      </w:r>
    </w:p>
    <w:p w14:paraId="17F9501E" w14:textId="77777777" w:rsidR="000B2A22" w:rsidRPr="00390E13" w:rsidRDefault="000B2A22" w:rsidP="00D04771">
      <w:pPr>
        <w:spacing w:before="120"/>
        <w:jc w:val="center"/>
        <w:rPr>
          <w:b/>
          <w:bCs/>
          <w:i/>
          <w:iCs/>
          <w:lang w:val="ro-MD" w:eastAsia="ro-MD"/>
        </w:rPr>
      </w:pPr>
      <w:r w:rsidRPr="00390E13">
        <w:rPr>
          <w:b/>
          <w:bCs/>
          <w:i/>
          <w:iCs/>
          <w:lang w:val="ro-MD" w:eastAsia="ro-MD"/>
        </w:rPr>
        <w:t>Secțiunea 4</w:t>
      </w:r>
    </w:p>
    <w:p w14:paraId="52833C4E" w14:textId="77777777" w:rsidR="000B2A22" w:rsidRPr="00390E13" w:rsidRDefault="000B2A22" w:rsidP="000B2A22">
      <w:pPr>
        <w:ind w:firstLine="567"/>
        <w:jc w:val="center"/>
        <w:rPr>
          <w:b/>
          <w:bCs/>
          <w:i/>
          <w:iCs/>
          <w:lang w:val="ro-MD" w:eastAsia="ro-MD"/>
        </w:rPr>
      </w:pPr>
      <w:r w:rsidRPr="00390E13">
        <w:rPr>
          <w:b/>
          <w:bCs/>
          <w:i/>
          <w:iCs/>
          <w:lang w:val="ro-MD" w:eastAsia="ro-MD"/>
        </w:rPr>
        <w:t>Termenele pentru depunerea cererii de către bănci</w:t>
      </w:r>
    </w:p>
    <w:p w14:paraId="083D091C" w14:textId="6919BB74" w:rsidR="000B2A22" w:rsidRPr="000B2A22" w:rsidRDefault="000B2A22" w:rsidP="000B2A22">
      <w:pPr>
        <w:ind w:firstLine="567"/>
        <w:jc w:val="both"/>
        <w:rPr>
          <w:lang w:val="ro-MD" w:eastAsia="ro-MD"/>
        </w:rPr>
      </w:pPr>
      <w:r w:rsidRPr="000B2A22">
        <w:rPr>
          <w:b/>
          <w:bCs/>
          <w:lang w:val="ro-MD" w:eastAsia="ro-MD"/>
        </w:rPr>
        <w:t>1</w:t>
      </w:r>
      <w:r w:rsidR="00FD1059">
        <w:rPr>
          <w:b/>
          <w:bCs/>
          <w:lang w:val="ro-MD" w:eastAsia="ro-MD"/>
        </w:rPr>
        <w:t>3</w:t>
      </w:r>
      <w:r w:rsidRPr="000B2A22">
        <w:rPr>
          <w:b/>
          <w:bCs/>
          <w:lang w:val="ro-MD" w:eastAsia="ro-MD"/>
        </w:rPr>
        <w:t>.</w:t>
      </w:r>
      <w:r w:rsidRPr="000B2A22">
        <w:rPr>
          <w:lang w:val="ro-MD" w:eastAsia="ro-MD"/>
        </w:rPr>
        <w:t xml:space="preserve"> Pentru o aprobare prealabilă sau o aprobare prealabilă generală, banca transmite Băncii Naționale a Moldovei o cerere completă și informațiile solicitate cu cel puțin trei luni înainte de data la care una dintre acțiunile enumerate la punctul 119 va fi anunțată deținătorilor instrumentelor.</w:t>
      </w:r>
    </w:p>
    <w:p w14:paraId="2893270E" w14:textId="09706A88" w:rsidR="000B2A22" w:rsidRPr="000B2A22" w:rsidRDefault="00FD1059" w:rsidP="000B2A22">
      <w:pPr>
        <w:ind w:firstLine="567"/>
        <w:jc w:val="both"/>
        <w:rPr>
          <w:lang w:val="ro-MD" w:eastAsia="ro-MD"/>
        </w:rPr>
      </w:pPr>
      <w:r>
        <w:rPr>
          <w:b/>
          <w:bCs/>
          <w:lang w:val="ro-MD" w:eastAsia="ro-MD"/>
        </w:rPr>
        <w:t>14</w:t>
      </w:r>
      <w:r w:rsidR="000B2A22" w:rsidRPr="000B2A22">
        <w:rPr>
          <w:b/>
          <w:bCs/>
          <w:lang w:val="ro-MD" w:eastAsia="ro-MD"/>
        </w:rPr>
        <w:t>.</w:t>
      </w:r>
      <w:r w:rsidR="000B2A22" w:rsidRPr="000B2A22">
        <w:rPr>
          <w:lang w:val="ro-MD" w:eastAsia="ro-MD"/>
        </w:rPr>
        <w:t xml:space="preserve"> Prin derogare de la punctul 1</w:t>
      </w:r>
      <w:r w:rsidR="005F314E">
        <w:rPr>
          <w:lang w:val="ro-MD" w:eastAsia="ro-MD"/>
        </w:rPr>
        <w:t>3</w:t>
      </w:r>
      <w:r w:rsidR="000B2A22" w:rsidRPr="000B2A22">
        <w:rPr>
          <w:lang w:val="ro-MD" w:eastAsia="ro-MD"/>
        </w:rPr>
        <w:t>, în cazul în care se solicită reînnoirea unei aprobări prealabile generale, banca transmite cererea și informațiile solicitate Băncii Naționale a Moldovei cu cel puțin trei luni înainte de expirarea perioadei pentru care a fost acordată aprobarea generală prealabilă inițială.</w:t>
      </w:r>
      <w:r w:rsidR="000B2A22" w:rsidRPr="000B2A22">
        <w:rPr>
          <w:sz w:val="18"/>
          <w:szCs w:val="18"/>
          <w:highlight w:val="lightGray"/>
          <w:lang w:val="ro-MD" w:eastAsia="ro-MD"/>
        </w:rPr>
        <w:t xml:space="preserve"> </w:t>
      </w:r>
    </w:p>
    <w:p w14:paraId="304DFA2F" w14:textId="5CA4AE4A" w:rsidR="000B2A22" w:rsidRPr="000B2A22" w:rsidRDefault="00FD1059" w:rsidP="000B2A22">
      <w:pPr>
        <w:ind w:firstLine="567"/>
        <w:jc w:val="both"/>
        <w:rPr>
          <w:lang w:val="ro-MD" w:eastAsia="ro-MD"/>
        </w:rPr>
      </w:pPr>
      <w:r>
        <w:rPr>
          <w:b/>
          <w:bCs/>
          <w:lang w:val="ro-MD" w:eastAsia="ro-MD"/>
        </w:rPr>
        <w:t>15</w:t>
      </w:r>
      <w:r w:rsidR="000B2A22" w:rsidRPr="000B2A22">
        <w:rPr>
          <w:b/>
          <w:bCs/>
          <w:lang w:val="ro-MD" w:eastAsia="ro-MD"/>
        </w:rPr>
        <w:t>.</w:t>
      </w:r>
      <w:r w:rsidR="000B2A22" w:rsidRPr="000B2A22">
        <w:rPr>
          <w:lang w:val="ro-MD" w:eastAsia="ro-MD"/>
        </w:rPr>
        <w:t xml:space="preserve"> Banca Națională a Moldovei poate permite băncilor, de la caz la caz și în circumstanțe excepționale, să transmită cererea menționată la punctele 1</w:t>
      </w:r>
      <w:r w:rsidR="00066500">
        <w:rPr>
          <w:lang w:val="ro-MD" w:eastAsia="ro-MD"/>
        </w:rPr>
        <w:t>3</w:t>
      </w:r>
      <w:r w:rsidR="000B2A22" w:rsidRPr="000B2A22">
        <w:rPr>
          <w:lang w:val="ro-MD" w:eastAsia="ro-MD"/>
        </w:rPr>
        <w:t xml:space="preserve"> și </w:t>
      </w:r>
      <w:r w:rsidR="00066500">
        <w:rPr>
          <w:lang w:val="ro-MD" w:eastAsia="ro-MD"/>
        </w:rPr>
        <w:t>15</w:t>
      </w:r>
      <w:r w:rsidR="000B2A22" w:rsidRPr="000B2A22">
        <w:rPr>
          <w:lang w:val="ro-MD" w:eastAsia="ro-MD"/>
        </w:rPr>
        <w:t xml:space="preserve"> într-un termen mai scurt decât perioadele prevăzute la punctele respective.</w:t>
      </w:r>
      <w:r w:rsidR="000B2A22" w:rsidRPr="000B2A22">
        <w:rPr>
          <w:sz w:val="18"/>
          <w:szCs w:val="18"/>
          <w:highlight w:val="lightGray"/>
          <w:lang w:val="ro-MD" w:eastAsia="ro-MD"/>
        </w:rPr>
        <w:t xml:space="preserve"> </w:t>
      </w:r>
    </w:p>
    <w:p w14:paraId="27FE2478" w14:textId="26A47D34" w:rsidR="000B2A22" w:rsidRPr="000B2A22" w:rsidRDefault="00FD1059" w:rsidP="000B2A22">
      <w:pPr>
        <w:ind w:firstLine="567"/>
        <w:jc w:val="both"/>
        <w:rPr>
          <w:lang w:val="ro-MD" w:eastAsia="ro-MD"/>
        </w:rPr>
      </w:pPr>
      <w:r>
        <w:rPr>
          <w:b/>
          <w:bCs/>
          <w:lang w:val="ro-MD" w:eastAsia="ro-MD"/>
        </w:rPr>
        <w:t>16</w:t>
      </w:r>
      <w:r w:rsidR="000B2A22" w:rsidRPr="000B2A22">
        <w:rPr>
          <w:b/>
          <w:bCs/>
          <w:lang w:val="ro-MD" w:eastAsia="ro-MD"/>
        </w:rPr>
        <w:t>.</w:t>
      </w:r>
      <w:r w:rsidR="000B2A22" w:rsidRPr="000B2A22">
        <w:rPr>
          <w:lang w:val="ro-MD" w:eastAsia="ro-MD"/>
        </w:rPr>
        <w:t xml:space="preserve"> Banca Națională a Moldovei prelucrează o cerere în termenul menționat la punctele 1</w:t>
      </w:r>
      <w:r w:rsidR="00066500">
        <w:rPr>
          <w:lang w:val="ro-MD" w:eastAsia="ro-MD"/>
        </w:rPr>
        <w:t>3</w:t>
      </w:r>
      <w:r w:rsidR="000B2A22" w:rsidRPr="000B2A22">
        <w:rPr>
          <w:lang w:val="ro-MD" w:eastAsia="ro-MD"/>
        </w:rPr>
        <w:t>-</w:t>
      </w:r>
      <w:r w:rsidR="00066500">
        <w:rPr>
          <w:lang w:val="ro-MD" w:eastAsia="ro-MD"/>
        </w:rPr>
        <w:t>15</w:t>
      </w:r>
      <w:r w:rsidR="000B2A22" w:rsidRPr="000B2A22">
        <w:rPr>
          <w:lang w:val="ro-MD" w:eastAsia="ro-MD"/>
        </w:rPr>
        <w:t>, după caz. Banca Națională a Moldovei ia în considerare informațiile noi primite în această perioadă, în cazul în care acestea sunt disponibile și atunci când le consideră semnificative. Banca Națională a Moldovei prelucrează cererea numai în cazul în care banca a furnizat toate informațiile prevăzute în prezenta anexă.</w:t>
      </w:r>
      <w:r w:rsidR="000B2A22">
        <w:rPr>
          <w:lang w:val="ro-MD" w:eastAsia="ro-MD"/>
        </w:rPr>
        <w:t>”.</w:t>
      </w:r>
    </w:p>
    <w:p w14:paraId="13F6E53E" w14:textId="77777777" w:rsidR="00517E95" w:rsidRPr="000B2A22" w:rsidRDefault="00517E95" w:rsidP="000B2A22">
      <w:pPr>
        <w:rPr>
          <w:lang w:val="ro-MD"/>
        </w:rPr>
      </w:pPr>
      <w:bookmarkStart w:id="28" w:name="_Hlk78366134"/>
    </w:p>
    <w:p w14:paraId="5B1D9CAD" w14:textId="031574CE" w:rsidR="002C0C4F" w:rsidRDefault="009C1ABD" w:rsidP="00C936FF">
      <w:pPr>
        <w:pStyle w:val="ListParagraph"/>
        <w:numPr>
          <w:ilvl w:val="0"/>
          <w:numId w:val="27"/>
        </w:numPr>
        <w:tabs>
          <w:tab w:val="left" w:pos="0"/>
        </w:tabs>
        <w:spacing w:after="80"/>
        <w:ind w:left="0" w:firstLine="567"/>
        <w:contextualSpacing w:val="0"/>
        <w:jc w:val="both"/>
        <w:rPr>
          <w:lang w:val="ro-MD"/>
        </w:rPr>
      </w:pPr>
      <w:r>
        <w:rPr>
          <w:lang w:val="ro-MD"/>
        </w:rPr>
        <w:t xml:space="preserve">Punctul </w:t>
      </w:r>
      <w:r w:rsidR="00F27A77">
        <w:rPr>
          <w:lang w:val="ro-MD"/>
        </w:rPr>
        <w:t>30 subpunctul 12) din regulamentul menționat</w:t>
      </w:r>
      <w:r w:rsidR="00F27A77">
        <w:rPr>
          <w:lang w:val="ro-RO"/>
        </w:rPr>
        <w:t xml:space="preserve"> la punctul 2</w:t>
      </w:r>
      <w:r w:rsidR="00327547">
        <w:rPr>
          <w:lang w:val="ro-MD"/>
        </w:rPr>
        <w:t>,</w:t>
      </w:r>
      <w:r>
        <w:rPr>
          <w:lang w:val="ro-MD"/>
        </w:rPr>
        <w:t xml:space="preserve"> aferent c</w:t>
      </w:r>
      <w:r w:rsidRPr="009C1ABD">
        <w:rPr>
          <w:lang w:val="ro-MD"/>
        </w:rPr>
        <w:t>uantumul</w:t>
      </w:r>
      <w:r>
        <w:rPr>
          <w:lang w:val="ro-MD"/>
        </w:rPr>
        <w:t>ui</w:t>
      </w:r>
      <w:r w:rsidRPr="009C1ABD">
        <w:rPr>
          <w:lang w:val="ro-MD"/>
        </w:rPr>
        <w:t xml:space="preserve"> aplicabil al acoperirii insuficiente pentru expunerile neperformante</w:t>
      </w:r>
      <w:r w:rsidR="00327547">
        <w:rPr>
          <w:lang w:val="ro-MD"/>
        </w:rPr>
        <w:t>,</w:t>
      </w:r>
      <w:r w:rsidRPr="009C1ABD">
        <w:rPr>
          <w:lang w:val="ro-MD"/>
        </w:rPr>
        <w:t xml:space="preserve"> </w:t>
      </w:r>
      <w:r w:rsidR="00F27A77">
        <w:rPr>
          <w:lang w:val="ro-MD"/>
        </w:rPr>
        <w:t xml:space="preserve">nu </w:t>
      </w:r>
      <w:r w:rsidR="002C0C4F" w:rsidRPr="002C0C4F">
        <w:rPr>
          <w:lang w:val="ro-MD"/>
        </w:rPr>
        <w:t xml:space="preserve">se </w:t>
      </w:r>
      <w:r w:rsidR="00F27A77">
        <w:rPr>
          <w:lang w:val="ro-MD"/>
        </w:rPr>
        <w:t xml:space="preserve">va </w:t>
      </w:r>
      <w:r w:rsidR="002C0C4F" w:rsidRPr="002C0C4F">
        <w:rPr>
          <w:lang w:val="ro-MD"/>
        </w:rPr>
        <w:t>aplic</w:t>
      </w:r>
      <w:r w:rsidR="00F27A77">
        <w:rPr>
          <w:lang w:val="ro-MD"/>
        </w:rPr>
        <w:t>a</w:t>
      </w:r>
      <w:r w:rsidR="002C0C4F" w:rsidRPr="002C0C4F">
        <w:rPr>
          <w:lang w:val="ro-MD"/>
        </w:rPr>
        <w:t xml:space="preserve"> expunerilor inițiate </w:t>
      </w:r>
      <w:r w:rsidR="00F27A77">
        <w:rPr>
          <w:lang w:val="ro-MD"/>
        </w:rPr>
        <w:t>până</w:t>
      </w:r>
      <w:r w:rsidR="002C0C4F">
        <w:rPr>
          <w:lang w:val="ro-MD"/>
        </w:rPr>
        <w:t xml:space="preserve"> </w:t>
      </w:r>
      <w:r w:rsidR="00132342">
        <w:rPr>
          <w:lang w:val="ro-MD"/>
        </w:rPr>
        <w:t xml:space="preserve">la </w:t>
      </w:r>
      <w:r w:rsidR="002C0C4F" w:rsidRPr="002C0C4F">
        <w:rPr>
          <w:lang w:val="ro-MD"/>
        </w:rPr>
        <w:t xml:space="preserve">intrarea în vigoare a </w:t>
      </w:r>
      <w:r w:rsidR="00132342">
        <w:rPr>
          <w:lang w:val="ro-MD"/>
        </w:rPr>
        <w:t>prezentei</w:t>
      </w:r>
      <w:r w:rsidR="002C0C4F" w:rsidRPr="002C0C4F">
        <w:rPr>
          <w:lang w:val="ro-MD"/>
        </w:rPr>
        <w:t xml:space="preserve"> hotărârii</w:t>
      </w:r>
      <w:r>
        <w:rPr>
          <w:lang w:val="ro-MD"/>
        </w:rPr>
        <w:t>.</w:t>
      </w:r>
    </w:p>
    <w:p w14:paraId="70200889" w14:textId="7325C01E" w:rsidR="00174014" w:rsidRPr="002462C8" w:rsidRDefault="002865EE" w:rsidP="002462C8">
      <w:pPr>
        <w:pStyle w:val="ListParagraph"/>
        <w:numPr>
          <w:ilvl w:val="0"/>
          <w:numId w:val="27"/>
        </w:numPr>
        <w:tabs>
          <w:tab w:val="left" w:pos="0"/>
        </w:tabs>
        <w:spacing w:after="80"/>
        <w:ind w:left="0" w:firstLine="567"/>
        <w:contextualSpacing w:val="0"/>
        <w:jc w:val="both"/>
        <w:rPr>
          <w:lang w:val="ro-MD"/>
        </w:rPr>
      </w:pPr>
      <w:r w:rsidRPr="00D70183">
        <w:rPr>
          <w:lang w:val="ro-MD"/>
        </w:rPr>
        <w:t>Prezenta hotărâre intră în vigoare</w:t>
      </w:r>
      <w:bookmarkEnd w:id="28"/>
      <w:r w:rsidR="007D479D" w:rsidRPr="00D70183">
        <w:rPr>
          <w:lang w:val="ro-MD"/>
        </w:rPr>
        <w:t xml:space="preserve"> </w:t>
      </w:r>
      <w:r w:rsidR="00FF10CA" w:rsidRPr="00D70183">
        <w:rPr>
          <w:lang w:val="ro-MD"/>
        </w:rPr>
        <w:t xml:space="preserve">la 1 </w:t>
      </w:r>
      <w:r w:rsidR="00195565" w:rsidRPr="00D70183">
        <w:rPr>
          <w:lang w:val="ro-MD"/>
        </w:rPr>
        <w:t>iulie</w:t>
      </w:r>
      <w:r w:rsidR="00FF10CA" w:rsidRPr="00D70183">
        <w:rPr>
          <w:lang w:val="ro-MD"/>
        </w:rPr>
        <w:t xml:space="preserve"> </w:t>
      </w:r>
      <w:r w:rsidR="00364F29" w:rsidRPr="00D70183">
        <w:rPr>
          <w:lang w:val="ro-MD"/>
        </w:rPr>
        <w:t>202</w:t>
      </w:r>
      <w:r w:rsidR="00364F29">
        <w:rPr>
          <w:lang w:val="ro-MD"/>
        </w:rPr>
        <w:t>7</w:t>
      </w:r>
      <w:r w:rsidR="00D70183" w:rsidRPr="00D70183">
        <w:rPr>
          <w:lang w:val="ro-MD"/>
        </w:rPr>
        <w:t xml:space="preserve">, </w:t>
      </w:r>
      <w:r w:rsidR="00D70183" w:rsidRPr="007D5AE8">
        <w:rPr>
          <w:lang w:val="ro-MD"/>
        </w:rPr>
        <w:t>cu excepția</w:t>
      </w:r>
      <w:r w:rsidR="00575227">
        <w:rPr>
          <w:lang w:val="ro-MD"/>
        </w:rPr>
        <w:t xml:space="preserve"> punctului 2.76</w:t>
      </w:r>
      <w:r w:rsidR="00D70183" w:rsidRPr="007D5AE8">
        <w:rPr>
          <w:lang w:val="ro-MD"/>
        </w:rPr>
        <w:t xml:space="preserve"> </w:t>
      </w:r>
      <w:r w:rsidR="00575227">
        <w:rPr>
          <w:lang w:val="ro-MD"/>
        </w:rPr>
        <w:t xml:space="preserve">aferent distribuirilor către acționari, care intră în vigoare la expirarea termenului de o lună de la data publicării în Monitorul Oficial al Republicii Moldova și a </w:t>
      </w:r>
      <w:r w:rsidR="00704C3B">
        <w:rPr>
          <w:lang w:val="ro-MD"/>
        </w:rPr>
        <w:t>punctelor</w:t>
      </w:r>
      <w:r w:rsidR="00704C3B" w:rsidRPr="007D5AE8">
        <w:rPr>
          <w:lang w:val="ro-MD"/>
        </w:rPr>
        <w:t xml:space="preserve"> </w:t>
      </w:r>
      <w:r w:rsidR="00704C3B">
        <w:rPr>
          <w:lang w:val="ro-MD"/>
        </w:rPr>
        <w:t>2.7, 2.8, 2.40, 2.45-2.48, 2.50, 2.57-2.59, 2.82.1, 2.85.4 în partea ce vizează pasivele eligibile</w:t>
      </w:r>
      <w:r w:rsidR="00C12467">
        <w:rPr>
          <w:lang w:val="ro-MD"/>
        </w:rPr>
        <w:t xml:space="preserve"> și orice </w:t>
      </w:r>
      <w:r w:rsidR="00174014">
        <w:rPr>
          <w:lang w:val="ro-MD"/>
        </w:rPr>
        <w:t xml:space="preserve">condiții și </w:t>
      </w:r>
      <w:r w:rsidR="00C12467">
        <w:rPr>
          <w:lang w:val="ro-MD"/>
        </w:rPr>
        <w:t>referinț</w:t>
      </w:r>
      <w:r w:rsidR="00174014">
        <w:rPr>
          <w:lang w:val="ro-MD"/>
        </w:rPr>
        <w:t>e la pasivele eligibile</w:t>
      </w:r>
      <w:r w:rsidR="00C12467">
        <w:rPr>
          <w:lang w:val="ro-MD"/>
        </w:rPr>
        <w:t xml:space="preserve"> </w:t>
      </w:r>
      <w:r w:rsidR="00D70183" w:rsidRPr="007D5AE8">
        <w:rPr>
          <w:lang w:val="ro-RO"/>
        </w:rPr>
        <w:t xml:space="preserve">care </w:t>
      </w:r>
      <w:r w:rsidR="005271B0" w:rsidRPr="007D5AE8">
        <w:rPr>
          <w:lang w:val="ro-RO"/>
        </w:rPr>
        <w:t>intră în vigoare la</w:t>
      </w:r>
      <w:r w:rsidR="00364F29">
        <w:rPr>
          <w:lang w:val="ro-RO"/>
        </w:rPr>
        <w:t xml:space="preserve"> data intrării în vigoare a Tratatului </w:t>
      </w:r>
      <w:r w:rsidR="00364F29" w:rsidRPr="00364F29">
        <w:rPr>
          <w:lang w:val="ro-RO"/>
        </w:rPr>
        <w:t>de aderare a Republicii Moldova la Uniunea Europeană</w:t>
      </w:r>
      <w:r w:rsidR="005271B0" w:rsidRPr="007D5AE8">
        <w:rPr>
          <w:lang w:val="ro-RO"/>
        </w:rPr>
        <w:t>.</w:t>
      </w:r>
    </w:p>
    <w:sectPr w:rsidR="00174014" w:rsidRPr="002462C8" w:rsidSect="000A0A0B">
      <w:headerReference w:type="even" r:id="rId13"/>
      <w:headerReference w:type="default" r:id="rId14"/>
      <w:footerReference w:type="even" r:id="rId15"/>
      <w:footerReference w:type="default" r:id="rId16"/>
      <w:headerReference w:type="first" r:id="rId17"/>
      <w:footerReference w:type="first" r:id="rId1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8E2B" w14:textId="77777777" w:rsidR="00F74665" w:rsidRDefault="00F74665" w:rsidP="00D5426C">
      <w:r>
        <w:separator/>
      </w:r>
    </w:p>
  </w:endnote>
  <w:endnote w:type="continuationSeparator" w:id="0">
    <w:p w14:paraId="480B928C" w14:textId="77777777" w:rsidR="00F74665" w:rsidRDefault="00F74665"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6549"/>
      <w:docPartObj>
        <w:docPartGallery w:val="Page Numbers (Bottom of Page)"/>
        <w:docPartUnique/>
      </w:docPartObj>
    </w:sdtPr>
    <w:sdtEndPr>
      <w:rPr>
        <w:noProof/>
      </w:rPr>
    </w:sdtEndPr>
    <w:sdtContent>
      <w:p w14:paraId="354A2770" w14:textId="6E89380C"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6476"/>
      <w:docPartObj>
        <w:docPartGallery w:val="Page Numbers (Bottom of Page)"/>
        <w:docPartUnique/>
      </w:docPartObj>
    </w:sdtPr>
    <w:sdtEndPr>
      <w:rPr>
        <w:noProof/>
      </w:rPr>
    </w:sdtEndPr>
    <w:sdtContent>
      <w:p w14:paraId="235EC9EA" w14:textId="0CC9EF1B" w:rsidR="00002DD2" w:rsidRDefault="00002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9F02F" w14:textId="77777777" w:rsidR="00275D6F"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BF8" w14:textId="767F3900" w:rsidR="000A0A0B" w:rsidRDefault="000A0A0B" w:rsidP="000A0A0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DDC8" w14:textId="77777777" w:rsidR="00F74665" w:rsidRDefault="00F74665" w:rsidP="00D5426C">
      <w:r>
        <w:separator/>
      </w:r>
    </w:p>
  </w:footnote>
  <w:footnote w:type="continuationSeparator" w:id="0">
    <w:p w14:paraId="334F5F4C" w14:textId="77777777" w:rsidR="00F74665" w:rsidRDefault="00F74665"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413" w14:textId="77777777" w:rsidR="00275D6F" w:rsidRDefault="00275D6F" w:rsidP="00D5426C">
    <w:pPr>
      <w:pStyle w:val="Header"/>
      <w:jc w:val="right"/>
    </w:pPr>
    <w:bookmarkStart w:id="29" w:name="TITUS1HeaderEvenPages"/>
    <w:r>
      <w:t xml:space="preserve"> </w:t>
    </w:r>
  </w:p>
  <w:bookmarkEnd w:id="29"/>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64" w14:textId="0F910B58" w:rsidR="00275D6F" w:rsidRPr="009E7A2C" w:rsidRDefault="00275D6F"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090" w14:textId="6A1EEF72" w:rsidR="00275D6F" w:rsidRPr="001409D9" w:rsidRDefault="00275D6F" w:rsidP="001409D9">
    <w:pPr>
      <w:pStyle w:val="Header"/>
      <w:jc w:val="right"/>
      <w:rPr>
        <w:b/>
        <w:bCs/>
        <w:lang w:val="ro-MD"/>
      </w:rPr>
    </w:pPr>
    <w:r w:rsidRPr="001409D9">
      <w:rPr>
        <w:b/>
        <w:bCs/>
        <w:lang w:val="ro-MD"/>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0CB"/>
    <w:multiLevelType w:val="hybridMultilevel"/>
    <w:tmpl w:val="34667FDE"/>
    <w:lvl w:ilvl="0" w:tplc="F8EE5CB0">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2FE6F74"/>
    <w:multiLevelType w:val="multilevel"/>
    <w:tmpl w:val="1DC2DDF8"/>
    <w:lvl w:ilvl="0">
      <w:start w:val="1"/>
      <w:numFmt w:val="decimal"/>
      <w:lvlText w:val="%1"/>
      <w:lvlJc w:val="left"/>
      <w:pPr>
        <w:ind w:left="600" w:hanging="600"/>
      </w:pPr>
      <w:rPr>
        <w:rFonts w:hint="default"/>
      </w:rPr>
    </w:lvl>
    <w:lvl w:ilvl="1">
      <w:start w:val="5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F10010"/>
    <w:multiLevelType w:val="multilevel"/>
    <w:tmpl w:val="0D886D82"/>
    <w:lvl w:ilvl="0">
      <w:start w:val="1"/>
      <w:numFmt w:val="decimal"/>
      <w:lvlText w:val="%1"/>
      <w:lvlJc w:val="left"/>
      <w:pPr>
        <w:ind w:left="600" w:hanging="600"/>
      </w:pPr>
      <w:rPr>
        <w:rFonts w:hint="default"/>
      </w:rPr>
    </w:lvl>
    <w:lvl w:ilvl="1">
      <w:start w:val="48"/>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59C78AD"/>
    <w:multiLevelType w:val="multilevel"/>
    <w:tmpl w:val="FF1C5F60"/>
    <w:lvl w:ilvl="0">
      <w:start w:val="1"/>
      <w:numFmt w:val="decimal"/>
      <w:lvlText w:val="%1."/>
      <w:lvlJc w:val="left"/>
      <w:pPr>
        <w:ind w:left="480" w:hanging="480"/>
      </w:pPr>
      <w:rPr>
        <w:rFonts w:hint="default"/>
      </w:rPr>
    </w:lvl>
    <w:lvl w:ilvl="1">
      <w:start w:val="13"/>
      <w:numFmt w:val="decimal"/>
      <w:lvlText w:val="%1.%2."/>
      <w:lvlJc w:val="left"/>
      <w:pPr>
        <w:ind w:left="1048" w:hanging="48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4E6D9E"/>
    <w:multiLevelType w:val="multilevel"/>
    <w:tmpl w:val="84F42A76"/>
    <w:lvl w:ilvl="0">
      <w:start w:val="1"/>
      <w:numFmt w:val="decimal"/>
      <w:lvlText w:val="%1."/>
      <w:lvlJc w:val="left"/>
      <w:pPr>
        <w:ind w:left="480" w:hanging="480"/>
      </w:pPr>
      <w:rPr>
        <w:rFonts w:hint="default"/>
        <w:b/>
        <w:bCs/>
      </w:rPr>
    </w:lvl>
    <w:lvl w:ilvl="1">
      <w:start w:val="12"/>
      <w:numFmt w:val="decimal"/>
      <w:suff w:val="space"/>
      <w:lvlText w:val="%1.%2."/>
      <w:lvlJc w:val="left"/>
      <w:pPr>
        <w:ind w:left="1048" w:hanging="480"/>
      </w:pPr>
      <w:rPr>
        <w:rFonts w:hint="default"/>
        <w:b/>
        <w:bCs/>
      </w:rPr>
    </w:lvl>
    <w:lvl w:ilvl="2">
      <w:start w:val="1"/>
      <w:numFmt w:val="decimal"/>
      <w:suff w:val="space"/>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FDF2DE2"/>
    <w:multiLevelType w:val="multilevel"/>
    <w:tmpl w:val="C338F246"/>
    <w:lvl w:ilvl="0">
      <w:start w:val="1"/>
      <w:numFmt w:val="decimal"/>
      <w:lvlText w:val="%1"/>
      <w:lvlJc w:val="left"/>
      <w:pPr>
        <w:ind w:left="780" w:hanging="780"/>
      </w:pPr>
      <w:rPr>
        <w:rFonts w:hint="default"/>
      </w:rPr>
    </w:lvl>
    <w:lvl w:ilvl="1">
      <w:start w:val="49"/>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1"/>
      <w:numFmt w:val="decimal"/>
      <w:lvlText w:val="%1.%2.%3.%4"/>
      <w:lvlJc w:val="left"/>
      <w:pPr>
        <w:ind w:left="1347" w:hanging="780"/>
      </w:pPr>
      <w:rPr>
        <w:rFonts w:hint="default"/>
        <w:b/>
        <w:bCs/>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442035C0"/>
    <w:multiLevelType w:val="multilevel"/>
    <w:tmpl w:val="6CD46B14"/>
    <w:lvl w:ilvl="0">
      <w:start w:val="1"/>
      <w:numFmt w:val="decimal"/>
      <w:lvlText w:val="%1."/>
      <w:lvlJc w:val="center"/>
      <w:pPr>
        <w:ind w:left="360" w:hanging="72"/>
      </w:pPr>
      <w:rPr>
        <w:rFonts w:hint="default"/>
        <w:b/>
        <w:bCs/>
      </w:rPr>
    </w:lvl>
    <w:lvl w:ilvl="1">
      <w:start w:val="1"/>
      <w:numFmt w:val="decimal"/>
      <w:suff w:val="space"/>
      <w:lvlText w:val="%1.%2."/>
      <w:lvlJc w:val="left"/>
      <w:pPr>
        <w:ind w:left="1849" w:hanging="432"/>
      </w:pPr>
      <w:rPr>
        <w:rFonts w:hint="default"/>
        <w:b/>
        <w:bCs/>
      </w:rPr>
    </w:lvl>
    <w:lvl w:ilvl="2">
      <w:start w:val="1"/>
      <w:numFmt w:val="decimal"/>
      <w:suff w:val="space"/>
      <w:lvlText w:val="%1.%2.%3."/>
      <w:lvlJc w:val="left"/>
      <w:pPr>
        <w:ind w:left="2488" w:hanging="504"/>
      </w:pPr>
      <w:rPr>
        <w:rFonts w:hint="default"/>
        <w:b/>
        <w:bCs/>
      </w:rPr>
    </w:lvl>
    <w:lvl w:ilvl="3">
      <w:start w:val="1"/>
      <w:numFmt w:val="decimal"/>
      <w:lvlText w:val="%1.%2.%3.%4."/>
      <w:lvlJc w:val="left"/>
      <w:pPr>
        <w:ind w:left="1783"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4F58D3"/>
    <w:multiLevelType w:val="multilevel"/>
    <w:tmpl w:val="6CD46B14"/>
    <w:lvl w:ilvl="0">
      <w:start w:val="1"/>
      <w:numFmt w:val="decimal"/>
      <w:lvlText w:val="%1."/>
      <w:lvlJc w:val="center"/>
      <w:pPr>
        <w:ind w:left="360" w:hanging="72"/>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499"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AE75F2"/>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54D70A8C"/>
    <w:multiLevelType w:val="multilevel"/>
    <w:tmpl w:val="9F74B8FA"/>
    <w:lvl w:ilvl="0">
      <w:start w:val="1"/>
      <w:numFmt w:val="decimal"/>
      <w:lvlText w:val="%1"/>
      <w:lvlJc w:val="left"/>
      <w:pPr>
        <w:ind w:left="600" w:hanging="600"/>
      </w:pPr>
      <w:rPr>
        <w:rFonts w:hint="default"/>
      </w:rPr>
    </w:lvl>
    <w:lvl w:ilvl="1">
      <w:start w:val="4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5"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A1DE6"/>
    <w:multiLevelType w:val="multilevel"/>
    <w:tmpl w:val="3976F570"/>
    <w:lvl w:ilvl="0">
      <w:start w:val="1"/>
      <w:numFmt w:val="decimal"/>
      <w:lvlText w:val="%1"/>
      <w:lvlJc w:val="left"/>
      <w:pPr>
        <w:ind w:left="600" w:hanging="600"/>
      </w:pPr>
      <w:rPr>
        <w:rFonts w:hint="default"/>
      </w:rPr>
    </w:lvl>
    <w:lvl w:ilvl="1">
      <w:start w:val="29"/>
      <w:numFmt w:val="decimal"/>
      <w:lvlText w:val="%1.%2"/>
      <w:lvlJc w:val="left"/>
      <w:pPr>
        <w:ind w:left="884" w:hanging="60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2A800A7"/>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1"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666E44FE"/>
    <w:multiLevelType w:val="multilevel"/>
    <w:tmpl w:val="80FE02D2"/>
    <w:lvl w:ilvl="0">
      <w:start w:val="1"/>
      <w:numFmt w:val="decimal"/>
      <w:suff w:val="space"/>
      <w:lvlText w:val="%1."/>
      <w:lvlJc w:val="left"/>
      <w:pPr>
        <w:ind w:left="480" w:hanging="480"/>
      </w:pPr>
      <w:rPr>
        <w:rFonts w:hint="default"/>
        <w:b/>
        <w:bCs/>
      </w:rPr>
    </w:lvl>
    <w:lvl w:ilvl="1">
      <w:start w:val="12"/>
      <w:numFmt w:val="decimal"/>
      <w:suff w:val="space"/>
      <w:lvlText w:val="%1.%2."/>
      <w:lvlJc w:val="left"/>
      <w:pPr>
        <w:ind w:left="1048" w:hanging="480"/>
      </w:pPr>
      <w:rPr>
        <w:rFonts w:hint="default"/>
        <w:b/>
        <w:bCs/>
      </w:rPr>
    </w:lvl>
    <w:lvl w:ilvl="2">
      <w:start w:val="1"/>
      <w:numFmt w:val="decimal"/>
      <w:suff w:val="space"/>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A42C8D"/>
    <w:multiLevelType w:val="multilevel"/>
    <w:tmpl w:val="59E8825C"/>
    <w:lvl w:ilvl="0">
      <w:start w:val="1"/>
      <w:numFmt w:val="decimal"/>
      <w:lvlText w:val="%1."/>
      <w:lvlJc w:val="left"/>
      <w:pPr>
        <w:ind w:left="480" w:hanging="480"/>
      </w:pPr>
      <w:rPr>
        <w:rFonts w:hint="default"/>
        <w:b/>
        <w:bCs/>
      </w:rPr>
    </w:lvl>
    <w:lvl w:ilvl="1">
      <w:start w:val="12"/>
      <w:numFmt w:val="decimal"/>
      <w:lvlText w:val="%1.%2."/>
      <w:lvlJc w:val="left"/>
      <w:pPr>
        <w:ind w:left="1048" w:hanging="48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1506B60"/>
    <w:multiLevelType w:val="multilevel"/>
    <w:tmpl w:val="73EA5810"/>
    <w:lvl w:ilvl="0">
      <w:start w:val="1"/>
      <w:numFmt w:val="decimal"/>
      <w:lvlText w:val="%1"/>
      <w:lvlJc w:val="left"/>
      <w:pPr>
        <w:ind w:left="600" w:hanging="600"/>
      </w:pPr>
      <w:rPr>
        <w:rFonts w:hint="default"/>
      </w:rPr>
    </w:lvl>
    <w:lvl w:ilvl="1">
      <w:start w:val="21"/>
      <w:numFmt w:val="decimal"/>
      <w:lvlText w:val="%1.%2"/>
      <w:lvlJc w:val="left"/>
      <w:pPr>
        <w:ind w:left="884" w:hanging="600"/>
      </w:pPr>
      <w:rPr>
        <w:rFonts w:hint="default"/>
      </w:rPr>
    </w:lvl>
    <w:lvl w:ilvl="2">
      <w:start w:val="1"/>
      <w:numFmt w:val="decimal"/>
      <w:suff w:val="space"/>
      <w:lvlText w:val="%1.%2.%3"/>
      <w:lvlJc w:val="left"/>
      <w:pPr>
        <w:ind w:left="1288" w:hanging="720"/>
      </w:pPr>
      <w:rPr>
        <w:rFonts w:hint="default"/>
        <w:b/>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48B4FEA"/>
    <w:multiLevelType w:val="multilevel"/>
    <w:tmpl w:val="2248A2A8"/>
    <w:lvl w:ilvl="0">
      <w:start w:val="1"/>
      <w:numFmt w:val="decimal"/>
      <w:lvlText w:val="%1."/>
      <w:lvlJc w:val="center"/>
      <w:pPr>
        <w:ind w:left="360" w:hanging="72"/>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num w:numId="1" w16cid:durableId="11009526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544632">
    <w:abstractNumId w:val="23"/>
  </w:num>
  <w:num w:numId="3" w16cid:durableId="7412919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429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06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8694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3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674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288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0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1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562777">
    <w:abstractNumId w:val="31"/>
  </w:num>
  <w:num w:numId="13" w16cid:durableId="1370764555">
    <w:abstractNumId w:val="3"/>
  </w:num>
  <w:num w:numId="14" w16cid:durableId="140847304">
    <w:abstractNumId w:val="4"/>
  </w:num>
  <w:num w:numId="15" w16cid:durableId="2118869199">
    <w:abstractNumId w:val="17"/>
  </w:num>
  <w:num w:numId="16" w16cid:durableId="1236402705">
    <w:abstractNumId w:val="7"/>
  </w:num>
  <w:num w:numId="17" w16cid:durableId="595210150">
    <w:abstractNumId w:val="38"/>
  </w:num>
  <w:num w:numId="18" w16cid:durableId="1710298874">
    <w:abstractNumId w:val="26"/>
  </w:num>
  <w:num w:numId="19" w16cid:durableId="547568932">
    <w:abstractNumId w:val="8"/>
  </w:num>
  <w:num w:numId="20" w16cid:durableId="1677152211">
    <w:abstractNumId w:val="1"/>
  </w:num>
  <w:num w:numId="21" w16cid:durableId="1915623828">
    <w:abstractNumId w:val="5"/>
  </w:num>
  <w:num w:numId="22" w16cid:durableId="283539057">
    <w:abstractNumId w:val="18"/>
  </w:num>
  <w:num w:numId="23" w16cid:durableId="1503735004">
    <w:abstractNumId w:val="29"/>
  </w:num>
  <w:num w:numId="24" w16cid:durableId="556627740">
    <w:abstractNumId w:val="25"/>
  </w:num>
  <w:num w:numId="25" w16cid:durableId="1084183317">
    <w:abstractNumId w:val="19"/>
  </w:num>
  <w:num w:numId="26" w16cid:durableId="1341809678">
    <w:abstractNumId w:val="6"/>
  </w:num>
  <w:num w:numId="27" w16cid:durableId="1399354093">
    <w:abstractNumId w:val="14"/>
  </w:num>
  <w:num w:numId="28" w16cid:durableId="2086223247">
    <w:abstractNumId w:val="28"/>
  </w:num>
  <w:num w:numId="29" w16cid:durableId="277491815">
    <w:abstractNumId w:val="37"/>
  </w:num>
  <w:num w:numId="30" w16cid:durableId="2084834272">
    <w:abstractNumId w:val="32"/>
  </w:num>
  <w:num w:numId="31" w16cid:durableId="1485588519">
    <w:abstractNumId w:val="11"/>
  </w:num>
  <w:num w:numId="32" w16cid:durableId="1951008876">
    <w:abstractNumId w:val="35"/>
  </w:num>
  <w:num w:numId="33" w16cid:durableId="698624472">
    <w:abstractNumId w:val="27"/>
  </w:num>
  <w:num w:numId="34" w16cid:durableId="933365191">
    <w:abstractNumId w:val="10"/>
  </w:num>
  <w:num w:numId="35" w16cid:durableId="1829789703">
    <w:abstractNumId w:val="22"/>
  </w:num>
  <w:num w:numId="36" w16cid:durableId="334381810">
    <w:abstractNumId w:val="2"/>
  </w:num>
  <w:num w:numId="37" w16cid:durableId="678973057">
    <w:abstractNumId w:val="34"/>
  </w:num>
  <w:num w:numId="38" w16cid:durableId="221019245">
    <w:abstractNumId w:val="16"/>
  </w:num>
  <w:num w:numId="39" w16cid:durableId="635569931">
    <w:abstractNumId w:val="12"/>
  </w:num>
  <w:num w:numId="40" w16cid:durableId="1287002900">
    <w:abstractNumId w:val="0"/>
  </w:num>
  <w:num w:numId="41" w16cid:durableId="1823080976">
    <w:abstractNumId w:val="13"/>
  </w:num>
  <w:num w:numId="42" w16cid:durableId="1440639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A1E"/>
    <w:rsid w:val="000019B4"/>
    <w:rsid w:val="00002DD2"/>
    <w:rsid w:val="00003F20"/>
    <w:rsid w:val="00004C9C"/>
    <w:rsid w:val="000062E8"/>
    <w:rsid w:val="00012136"/>
    <w:rsid w:val="00013153"/>
    <w:rsid w:val="00013966"/>
    <w:rsid w:val="00015A00"/>
    <w:rsid w:val="00015F9E"/>
    <w:rsid w:val="00016213"/>
    <w:rsid w:val="0001648A"/>
    <w:rsid w:val="00016E50"/>
    <w:rsid w:val="00016FD7"/>
    <w:rsid w:val="00022040"/>
    <w:rsid w:val="00022961"/>
    <w:rsid w:val="0002449C"/>
    <w:rsid w:val="00024D44"/>
    <w:rsid w:val="000265C3"/>
    <w:rsid w:val="000271BA"/>
    <w:rsid w:val="00031C90"/>
    <w:rsid w:val="0003245D"/>
    <w:rsid w:val="00033BE2"/>
    <w:rsid w:val="0003402E"/>
    <w:rsid w:val="00034D45"/>
    <w:rsid w:val="00034EA2"/>
    <w:rsid w:val="00034ECD"/>
    <w:rsid w:val="000363F6"/>
    <w:rsid w:val="000365C1"/>
    <w:rsid w:val="00036A2E"/>
    <w:rsid w:val="000415C8"/>
    <w:rsid w:val="00042580"/>
    <w:rsid w:val="00042943"/>
    <w:rsid w:val="00042EFC"/>
    <w:rsid w:val="000430D5"/>
    <w:rsid w:val="000462F7"/>
    <w:rsid w:val="000469AC"/>
    <w:rsid w:val="0004725A"/>
    <w:rsid w:val="000477DB"/>
    <w:rsid w:val="00050E7E"/>
    <w:rsid w:val="0005138E"/>
    <w:rsid w:val="000513F6"/>
    <w:rsid w:val="0005444E"/>
    <w:rsid w:val="00054EF8"/>
    <w:rsid w:val="000567C0"/>
    <w:rsid w:val="00056B6B"/>
    <w:rsid w:val="00057B60"/>
    <w:rsid w:val="00060555"/>
    <w:rsid w:val="00061719"/>
    <w:rsid w:val="000638E9"/>
    <w:rsid w:val="00064598"/>
    <w:rsid w:val="000655A2"/>
    <w:rsid w:val="00066014"/>
    <w:rsid w:val="00066500"/>
    <w:rsid w:val="000667E3"/>
    <w:rsid w:val="00066F44"/>
    <w:rsid w:val="000703D5"/>
    <w:rsid w:val="00070DA3"/>
    <w:rsid w:val="00071E51"/>
    <w:rsid w:val="000723FD"/>
    <w:rsid w:val="00072CC5"/>
    <w:rsid w:val="000730E4"/>
    <w:rsid w:val="000748E8"/>
    <w:rsid w:val="00075419"/>
    <w:rsid w:val="00075C2D"/>
    <w:rsid w:val="0007653E"/>
    <w:rsid w:val="000771C6"/>
    <w:rsid w:val="000804F1"/>
    <w:rsid w:val="000807AB"/>
    <w:rsid w:val="00080984"/>
    <w:rsid w:val="00082693"/>
    <w:rsid w:val="00083C8C"/>
    <w:rsid w:val="000842B5"/>
    <w:rsid w:val="00084DA9"/>
    <w:rsid w:val="00085B0E"/>
    <w:rsid w:val="000868D8"/>
    <w:rsid w:val="00090870"/>
    <w:rsid w:val="00091C2F"/>
    <w:rsid w:val="00091D0F"/>
    <w:rsid w:val="00092038"/>
    <w:rsid w:val="00092360"/>
    <w:rsid w:val="00092B8E"/>
    <w:rsid w:val="000934D7"/>
    <w:rsid w:val="00095646"/>
    <w:rsid w:val="00095E2F"/>
    <w:rsid w:val="000964CF"/>
    <w:rsid w:val="000A0A0B"/>
    <w:rsid w:val="000A11E4"/>
    <w:rsid w:val="000A3B8D"/>
    <w:rsid w:val="000A4291"/>
    <w:rsid w:val="000A4376"/>
    <w:rsid w:val="000A465A"/>
    <w:rsid w:val="000A47CB"/>
    <w:rsid w:val="000A4CB1"/>
    <w:rsid w:val="000A5A0D"/>
    <w:rsid w:val="000A7696"/>
    <w:rsid w:val="000A7BAC"/>
    <w:rsid w:val="000B10CF"/>
    <w:rsid w:val="000B2510"/>
    <w:rsid w:val="000B2A22"/>
    <w:rsid w:val="000B355C"/>
    <w:rsid w:val="000B3CD0"/>
    <w:rsid w:val="000B40A9"/>
    <w:rsid w:val="000B4B74"/>
    <w:rsid w:val="000B7B64"/>
    <w:rsid w:val="000B7F40"/>
    <w:rsid w:val="000C0050"/>
    <w:rsid w:val="000C0C20"/>
    <w:rsid w:val="000C4044"/>
    <w:rsid w:val="000C489E"/>
    <w:rsid w:val="000C632E"/>
    <w:rsid w:val="000C77ED"/>
    <w:rsid w:val="000D022C"/>
    <w:rsid w:val="000D34B8"/>
    <w:rsid w:val="000D3711"/>
    <w:rsid w:val="000D401A"/>
    <w:rsid w:val="000D4A6D"/>
    <w:rsid w:val="000D7EA3"/>
    <w:rsid w:val="000D7FD4"/>
    <w:rsid w:val="000E2704"/>
    <w:rsid w:val="000E37E8"/>
    <w:rsid w:val="000E409B"/>
    <w:rsid w:val="000E45D3"/>
    <w:rsid w:val="000E7243"/>
    <w:rsid w:val="000E7726"/>
    <w:rsid w:val="000E79C7"/>
    <w:rsid w:val="000F0C57"/>
    <w:rsid w:val="000F15A8"/>
    <w:rsid w:val="000F18DA"/>
    <w:rsid w:val="000F1C4E"/>
    <w:rsid w:val="000F219D"/>
    <w:rsid w:val="000F36E4"/>
    <w:rsid w:val="000F40D5"/>
    <w:rsid w:val="000F4D92"/>
    <w:rsid w:val="000F5215"/>
    <w:rsid w:val="000F602B"/>
    <w:rsid w:val="000F6FC6"/>
    <w:rsid w:val="000F7785"/>
    <w:rsid w:val="000F7BDF"/>
    <w:rsid w:val="000F7F6A"/>
    <w:rsid w:val="0010486A"/>
    <w:rsid w:val="00104F6D"/>
    <w:rsid w:val="00105408"/>
    <w:rsid w:val="001059EF"/>
    <w:rsid w:val="00105FCA"/>
    <w:rsid w:val="001077C1"/>
    <w:rsid w:val="00107A0C"/>
    <w:rsid w:val="00112722"/>
    <w:rsid w:val="001139FC"/>
    <w:rsid w:val="00115B4D"/>
    <w:rsid w:val="001161B2"/>
    <w:rsid w:val="001173C5"/>
    <w:rsid w:val="00117AD7"/>
    <w:rsid w:val="00121990"/>
    <w:rsid w:val="00121E6F"/>
    <w:rsid w:val="0012202A"/>
    <w:rsid w:val="00122DF4"/>
    <w:rsid w:val="0012338B"/>
    <w:rsid w:val="001236EA"/>
    <w:rsid w:val="00123A40"/>
    <w:rsid w:val="00124994"/>
    <w:rsid w:val="00125281"/>
    <w:rsid w:val="001263A3"/>
    <w:rsid w:val="00126865"/>
    <w:rsid w:val="001274C3"/>
    <w:rsid w:val="00127FB7"/>
    <w:rsid w:val="00130B29"/>
    <w:rsid w:val="00132342"/>
    <w:rsid w:val="001325DE"/>
    <w:rsid w:val="001351BD"/>
    <w:rsid w:val="001356E0"/>
    <w:rsid w:val="00135A0B"/>
    <w:rsid w:val="00136205"/>
    <w:rsid w:val="0013698F"/>
    <w:rsid w:val="00136B46"/>
    <w:rsid w:val="00136F0B"/>
    <w:rsid w:val="001370D8"/>
    <w:rsid w:val="001409D9"/>
    <w:rsid w:val="00141516"/>
    <w:rsid w:val="00143DCB"/>
    <w:rsid w:val="001455A6"/>
    <w:rsid w:val="00147E3F"/>
    <w:rsid w:val="001506C4"/>
    <w:rsid w:val="00151E45"/>
    <w:rsid w:val="001537B3"/>
    <w:rsid w:val="00157B95"/>
    <w:rsid w:val="0016016F"/>
    <w:rsid w:val="00160864"/>
    <w:rsid w:val="00161438"/>
    <w:rsid w:val="00161CD5"/>
    <w:rsid w:val="00162EF7"/>
    <w:rsid w:val="00163C93"/>
    <w:rsid w:val="001641E3"/>
    <w:rsid w:val="001657DC"/>
    <w:rsid w:val="00165F1B"/>
    <w:rsid w:val="0016632B"/>
    <w:rsid w:val="0016680C"/>
    <w:rsid w:val="00166D3F"/>
    <w:rsid w:val="001671FE"/>
    <w:rsid w:val="00167A8E"/>
    <w:rsid w:val="00170D19"/>
    <w:rsid w:val="00172629"/>
    <w:rsid w:val="001727BF"/>
    <w:rsid w:val="00172E97"/>
    <w:rsid w:val="0017349E"/>
    <w:rsid w:val="00174014"/>
    <w:rsid w:val="00175CD2"/>
    <w:rsid w:val="00176131"/>
    <w:rsid w:val="001762E1"/>
    <w:rsid w:val="0017693E"/>
    <w:rsid w:val="00177730"/>
    <w:rsid w:val="00177A16"/>
    <w:rsid w:val="00180AB8"/>
    <w:rsid w:val="0018298B"/>
    <w:rsid w:val="00183266"/>
    <w:rsid w:val="001866E8"/>
    <w:rsid w:val="00186DD2"/>
    <w:rsid w:val="001872EF"/>
    <w:rsid w:val="00192546"/>
    <w:rsid w:val="001951E4"/>
    <w:rsid w:val="00195530"/>
    <w:rsid w:val="00195565"/>
    <w:rsid w:val="00196B11"/>
    <w:rsid w:val="00197C9F"/>
    <w:rsid w:val="00197E52"/>
    <w:rsid w:val="001A059E"/>
    <w:rsid w:val="001A0608"/>
    <w:rsid w:val="001A1002"/>
    <w:rsid w:val="001A1D87"/>
    <w:rsid w:val="001A1FC6"/>
    <w:rsid w:val="001A2628"/>
    <w:rsid w:val="001A2D08"/>
    <w:rsid w:val="001A363D"/>
    <w:rsid w:val="001A36F3"/>
    <w:rsid w:val="001A3F78"/>
    <w:rsid w:val="001A42E6"/>
    <w:rsid w:val="001A4321"/>
    <w:rsid w:val="001A543C"/>
    <w:rsid w:val="001A71D9"/>
    <w:rsid w:val="001A7BB9"/>
    <w:rsid w:val="001A7DD3"/>
    <w:rsid w:val="001B04C4"/>
    <w:rsid w:val="001B0C70"/>
    <w:rsid w:val="001B0D5A"/>
    <w:rsid w:val="001B2B86"/>
    <w:rsid w:val="001B2EC8"/>
    <w:rsid w:val="001B35E4"/>
    <w:rsid w:val="001B3F42"/>
    <w:rsid w:val="001B54B3"/>
    <w:rsid w:val="001B5FB2"/>
    <w:rsid w:val="001C0DAE"/>
    <w:rsid w:val="001C0FA8"/>
    <w:rsid w:val="001C0FC3"/>
    <w:rsid w:val="001C126B"/>
    <w:rsid w:val="001C4417"/>
    <w:rsid w:val="001C525E"/>
    <w:rsid w:val="001C68E3"/>
    <w:rsid w:val="001C7203"/>
    <w:rsid w:val="001C7868"/>
    <w:rsid w:val="001D0604"/>
    <w:rsid w:val="001D1370"/>
    <w:rsid w:val="001D22AA"/>
    <w:rsid w:val="001D3052"/>
    <w:rsid w:val="001D31B6"/>
    <w:rsid w:val="001D4A7A"/>
    <w:rsid w:val="001D50FB"/>
    <w:rsid w:val="001D6E69"/>
    <w:rsid w:val="001D7176"/>
    <w:rsid w:val="001E343A"/>
    <w:rsid w:val="001E47DD"/>
    <w:rsid w:val="001E4A00"/>
    <w:rsid w:val="001E526E"/>
    <w:rsid w:val="001E52F0"/>
    <w:rsid w:val="001E5748"/>
    <w:rsid w:val="001E576A"/>
    <w:rsid w:val="001F0AB9"/>
    <w:rsid w:val="001F11FC"/>
    <w:rsid w:val="001F1BE0"/>
    <w:rsid w:val="001F1D70"/>
    <w:rsid w:val="001F207B"/>
    <w:rsid w:val="001F20CB"/>
    <w:rsid w:val="001F20EE"/>
    <w:rsid w:val="001F4CA0"/>
    <w:rsid w:val="001F693C"/>
    <w:rsid w:val="001F77E0"/>
    <w:rsid w:val="002009FF"/>
    <w:rsid w:val="00201B0D"/>
    <w:rsid w:val="00202A85"/>
    <w:rsid w:val="002058EF"/>
    <w:rsid w:val="00205E52"/>
    <w:rsid w:val="00207EE7"/>
    <w:rsid w:val="002108CF"/>
    <w:rsid w:val="00211BE1"/>
    <w:rsid w:val="00213986"/>
    <w:rsid w:val="002150E3"/>
    <w:rsid w:val="002155A2"/>
    <w:rsid w:val="00215F0D"/>
    <w:rsid w:val="00216650"/>
    <w:rsid w:val="0021784F"/>
    <w:rsid w:val="00220161"/>
    <w:rsid w:val="0022045F"/>
    <w:rsid w:val="0022375A"/>
    <w:rsid w:val="00223BE6"/>
    <w:rsid w:val="00223C31"/>
    <w:rsid w:val="00224F94"/>
    <w:rsid w:val="00225688"/>
    <w:rsid w:val="00225BE1"/>
    <w:rsid w:val="00225FB7"/>
    <w:rsid w:val="002260D4"/>
    <w:rsid w:val="00226E79"/>
    <w:rsid w:val="00230594"/>
    <w:rsid w:val="00232805"/>
    <w:rsid w:val="002344CD"/>
    <w:rsid w:val="00234B2B"/>
    <w:rsid w:val="00237BBF"/>
    <w:rsid w:val="002404C9"/>
    <w:rsid w:val="0024109D"/>
    <w:rsid w:val="00243CD1"/>
    <w:rsid w:val="00244131"/>
    <w:rsid w:val="0024503C"/>
    <w:rsid w:val="00245F14"/>
    <w:rsid w:val="002462C8"/>
    <w:rsid w:val="002466DD"/>
    <w:rsid w:val="00251C13"/>
    <w:rsid w:val="00253231"/>
    <w:rsid w:val="00256FAB"/>
    <w:rsid w:val="002574F3"/>
    <w:rsid w:val="002576C9"/>
    <w:rsid w:val="00264552"/>
    <w:rsid w:val="00264B1D"/>
    <w:rsid w:val="00265F43"/>
    <w:rsid w:val="00266CFA"/>
    <w:rsid w:val="0027079C"/>
    <w:rsid w:val="00270BF0"/>
    <w:rsid w:val="00274BC3"/>
    <w:rsid w:val="00275456"/>
    <w:rsid w:val="00275D6F"/>
    <w:rsid w:val="002769FD"/>
    <w:rsid w:val="002774BE"/>
    <w:rsid w:val="00280A74"/>
    <w:rsid w:val="00280FCD"/>
    <w:rsid w:val="002810DB"/>
    <w:rsid w:val="002812A4"/>
    <w:rsid w:val="002812ED"/>
    <w:rsid w:val="002819C0"/>
    <w:rsid w:val="00281C0F"/>
    <w:rsid w:val="002823F6"/>
    <w:rsid w:val="002832A1"/>
    <w:rsid w:val="0028542D"/>
    <w:rsid w:val="00285916"/>
    <w:rsid w:val="00285E0B"/>
    <w:rsid w:val="002865EE"/>
    <w:rsid w:val="00286ADF"/>
    <w:rsid w:val="00287672"/>
    <w:rsid w:val="00287B8B"/>
    <w:rsid w:val="00287FE5"/>
    <w:rsid w:val="00290EA7"/>
    <w:rsid w:val="00292716"/>
    <w:rsid w:val="00292E7D"/>
    <w:rsid w:val="00293CF2"/>
    <w:rsid w:val="00293D86"/>
    <w:rsid w:val="00293F8C"/>
    <w:rsid w:val="002957FA"/>
    <w:rsid w:val="0029623F"/>
    <w:rsid w:val="00296927"/>
    <w:rsid w:val="00297800"/>
    <w:rsid w:val="00297CF0"/>
    <w:rsid w:val="002A428C"/>
    <w:rsid w:val="002A454D"/>
    <w:rsid w:val="002A4958"/>
    <w:rsid w:val="002A6352"/>
    <w:rsid w:val="002A77A7"/>
    <w:rsid w:val="002B327D"/>
    <w:rsid w:val="002B3326"/>
    <w:rsid w:val="002B3B4C"/>
    <w:rsid w:val="002B3E07"/>
    <w:rsid w:val="002B408F"/>
    <w:rsid w:val="002B50E5"/>
    <w:rsid w:val="002B5D3B"/>
    <w:rsid w:val="002B6094"/>
    <w:rsid w:val="002B7D1D"/>
    <w:rsid w:val="002C0C4F"/>
    <w:rsid w:val="002C1340"/>
    <w:rsid w:val="002C2922"/>
    <w:rsid w:val="002C3979"/>
    <w:rsid w:val="002C3AED"/>
    <w:rsid w:val="002C3F59"/>
    <w:rsid w:val="002C4EC3"/>
    <w:rsid w:val="002C53A0"/>
    <w:rsid w:val="002C55DA"/>
    <w:rsid w:val="002C6128"/>
    <w:rsid w:val="002C7BCA"/>
    <w:rsid w:val="002D003F"/>
    <w:rsid w:val="002D0515"/>
    <w:rsid w:val="002D1F0D"/>
    <w:rsid w:val="002D2601"/>
    <w:rsid w:val="002D3626"/>
    <w:rsid w:val="002D3C45"/>
    <w:rsid w:val="002D4705"/>
    <w:rsid w:val="002D49EE"/>
    <w:rsid w:val="002D545C"/>
    <w:rsid w:val="002D5BDD"/>
    <w:rsid w:val="002D6A89"/>
    <w:rsid w:val="002D72E5"/>
    <w:rsid w:val="002D789A"/>
    <w:rsid w:val="002E07B8"/>
    <w:rsid w:val="002E0D6C"/>
    <w:rsid w:val="002E21F7"/>
    <w:rsid w:val="002E2BAC"/>
    <w:rsid w:val="002E52DB"/>
    <w:rsid w:val="002E67F7"/>
    <w:rsid w:val="002F11C8"/>
    <w:rsid w:val="002F266B"/>
    <w:rsid w:val="002F33F6"/>
    <w:rsid w:val="002F39CA"/>
    <w:rsid w:val="002F4BA7"/>
    <w:rsid w:val="002F7965"/>
    <w:rsid w:val="002F7DA2"/>
    <w:rsid w:val="003016F1"/>
    <w:rsid w:val="00304904"/>
    <w:rsid w:val="00306342"/>
    <w:rsid w:val="0030664B"/>
    <w:rsid w:val="00306A5C"/>
    <w:rsid w:val="003079E4"/>
    <w:rsid w:val="00307F98"/>
    <w:rsid w:val="0031060F"/>
    <w:rsid w:val="0031149F"/>
    <w:rsid w:val="003122C9"/>
    <w:rsid w:val="003128A1"/>
    <w:rsid w:val="00312C44"/>
    <w:rsid w:val="003132B5"/>
    <w:rsid w:val="00313337"/>
    <w:rsid w:val="003138C6"/>
    <w:rsid w:val="00315A53"/>
    <w:rsid w:val="003208C5"/>
    <w:rsid w:val="00321B5E"/>
    <w:rsid w:val="0032258E"/>
    <w:rsid w:val="00323322"/>
    <w:rsid w:val="00324B58"/>
    <w:rsid w:val="00327547"/>
    <w:rsid w:val="0032776E"/>
    <w:rsid w:val="0033090C"/>
    <w:rsid w:val="003316FA"/>
    <w:rsid w:val="00332956"/>
    <w:rsid w:val="00333291"/>
    <w:rsid w:val="003343F6"/>
    <w:rsid w:val="0033465C"/>
    <w:rsid w:val="00335494"/>
    <w:rsid w:val="00337735"/>
    <w:rsid w:val="003404EE"/>
    <w:rsid w:val="003424CE"/>
    <w:rsid w:val="00343678"/>
    <w:rsid w:val="00343B19"/>
    <w:rsid w:val="003456C5"/>
    <w:rsid w:val="0034583E"/>
    <w:rsid w:val="003459C0"/>
    <w:rsid w:val="0034750F"/>
    <w:rsid w:val="00351665"/>
    <w:rsid w:val="00352477"/>
    <w:rsid w:val="0035495B"/>
    <w:rsid w:val="00356208"/>
    <w:rsid w:val="00356A1F"/>
    <w:rsid w:val="00356ABB"/>
    <w:rsid w:val="00357055"/>
    <w:rsid w:val="003573D6"/>
    <w:rsid w:val="00357944"/>
    <w:rsid w:val="00361DFF"/>
    <w:rsid w:val="003634DB"/>
    <w:rsid w:val="00364F29"/>
    <w:rsid w:val="00365F5E"/>
    <w:rsid w:val="003671F5"/>
    <w:rsid w:val="0037083D"/>
    <w:rsid w:val="003713BA"/>
    <w:rsid w:val="003713E8"/>
    <w:rsid w:val="00373C53"/>
    <w:rsid w:val="00375D38"/>
    <w:rsid w:val="003813B5"/>
    <w:rsid w:val="00385DC8"/>
    <w:rsid w:val="00385F43"/>
    <w:rsid w:val="003861D9"/>
    <w:rsid w:val="00390847"/>
    <w:rsid w:val="00390E13"/>
    <w:rsid w:val="00390F48"/>
    <w:rsid w:val="00391DD2"/>
    <w:rsid w:val="00392E81"/>
    <w:rsid w:val="00396DFF"/>
    <w:rsid w:val="00397783"/>
    <w:rsid w:val="003977C1"/>
    <w:rsid w:val="00397B85"/>
    <w:rsid w:val="00397D54"/>
    <w:rsid w:val="003A036C"/>
    <w:rsid w:val="003A0959"/>
    <w:rsid w:val="003A0DE5"/>
    <w:rsid w:val="003A1338"/>
    <w:rsid w:val="003A716F"/>
    <w:rsid w:val="003B06B7"/>
    <w:rsid w:val="003B08F6"/>
    <w:rsid w:val="003B2235"/>
    <w:rsid w:val="003B430C"/>
    <w:rsid w:val="003B5F3E"/>
    <w:rsid w:val="003C0671"/>
    <w:rsid w:val="003C0F8D"/>
    <w:rsid w:val="003C1AC9"/>
    <w:rsid w:val="003C6593"/>
    <w:rsid w:val="003C6790"/>
    <w:rsid w:val="003C6D9E"/>
    <w:rsid w:val="003C6ED2"/>
    <w:rsid w:val="003C761C"/>
    <w:rsid w:val="003C77CD"/>
    <w:rsid w:val="003D0AC4"/>
    <w:rsid w:val="003D0AEF"/>
    <w:rsid w:val="003D0BC2"/>
    <w:rsid w:val="003D1D1E"/>
    <w:rsid w:val="003D221E"/>
    <w:rsid w:val="003D2C20"/>
    <w:rsid w:val="003D30C5"/>
    <w:rsid w:val="003D38E2"/>
    <w:rsid w:val="003D4322"/>
    <w:rsid w:val="003D4C59"/>
    <w:rsid w:val="003D4EF4"/>
    <w:rsid w:val="003D51FD"/>
    <w:rsid w:val="003D5D26"/>
    <w:rsid w:val="003D7808"/>
    <w:rsid w:val="003E0C36"/>
    <w:rsid w:val="003E1002"/>
    <w:rsid w:val="003E2C6E"/>
    <w:rsid w:val="003E3074"/>
    <w:rsid w:val="003E577A"/>
    <w:rsid w:val="003E5E8C"/>
    <w:rsid w:val="003F0032"/>
    <w:rsid w:val="003F08DB"/>
    <w:rsid w:val="003F10AE"/>
    <w:rsid w:val="003F172D"/>
    <w:rsid w:val="003F245D"/>
    <w:rsid w:val="003F27E9"/>
    <w:rsid w:val="003F342A"/>
    <w:rsid w:val="003F37AF"/>
    <w:rsid w:val="003F74FC"/>
    <w:rsid w:val="004005E9"/>
    <w:rsid w:val="00400A54"/>
    <w:rsid w:val="00402CC0"/>
    <w:rsid w:val="004037C0"/>
    <w:rsid w:val="004058FC"/>
    <w:rsid w:val="0040652F"/>
    <w:rsid w:val="00407B25"/>
    <w:rsid w:val="004103EF"/>
    <w:rsid w:val="0041542E"/>
    <w:rsid w:val="00416397"/>
    <w:rsid w:val="00417496"/>
    <w:rsid w:val="00417CE4"/>
    <w:rsid w:val="00417DE4"/>
    <w:rsid w:val="004202CE"/>
    <w:rsid w:val="00422381"/>
    <w:rsid w:val="00422E36"/>
    <w:rsid w:val="004244CA"/>
    <w:rsid w:val="00425584"/>
    <w:rsid w:val="00425EE9"/>
    <w:rsid w:val="004270EB"/>
    <w:rsid w:val="004300A7"/>
    <w:rsid w:val="00430D0D"/>
    <w:rsid w:val="00430E7D"/>
    <w:rsid w:val="0043112B"/>
    <w:rsid w:val="00431BC7"/>
    <w:rsid w:val="0043300D"/>
    <w:rsid w:val="004330F4"/>
    <w:rsid w:val="00435272"/>
    <w:rsid w:val="0043741D"/>
    <w:rsid w:val="00437680"/>
    <w:rsid w:val="004376A0"/>
    <w:rsid w:val="00440653"/>
    <w:rsid w:val="00440718"/>
    <w:rsid w:val="004410D8"/>
    <w:rsid w:val="0044229E"/>
    <w:rsid w:val="004449F6"/>
    <w:rsid w:val="00444DED"/>
    <w:rsid w:val="00444E8D"/>
    <w:rsid w:val="004453FF"/>
    <w:rsid w:val="004503E6"/>
    <w:rsid w:val="00451115"/>
    <w:rsid w:val="004526E8"/>
    <w:rsid w:val="004558EF"/>
    <w:rsid w:val="004577B6"/>
    <w:rsid w:val="00460392"/>
    <w:rsid w:val="0046040D"/>
    <w:rsid w:val="0046069A"/>
    <w:rsid w:val="00460E80"/>
    <w:rsid w:val="00461C85"/>
    <w:rsid w:val="00463363"/>
    <w:rsid w:val="00465B3A"/>
    <w:rsid w:val="004669B2"/>
    <w:rsid w:val="00470862"/>
    <w:rsid w:val="00471E90"/>
    <w:rsid w:val="0047220E"/>
    <w:rsid w:val="00472446"/>
    <w:rsid w:val="004741E1"/>
    <w:rsid w:val="004744BF"/>
    <w:rsid w:val="0047497D"/>
    <w:rsid w:val="00475B90"/>
    <w:rsid w:val="00475F4B"/>
    <w:rsid w:val="00476D39"/>
    <w:rsid w:val="00477AF2"/>
    <w:rsid w:val="0048183A"/>
    <w:rsid w:val="00481E82"/>
    <w:rsid w:val="004826A8"/>
    <w:rsid w:val="004857BD"/>
    <w:rsid w:val="0048599E"/>
    <w:rsid w:val="00486784"/>
    <w:rsid w:val="00487EC1"/>
    <w:rsid w:val="00490153"/>
    <w:rsid w:val="00490BDA"/>
    <w:rsid w:val="0049154D"/>
    <w:rsid w:val="00491E32"/>
    <w:rsid w:val="00492C71"/>
    <w:rsid w:val="00493676"/>
    <w:rsid w:val="00493E8C"/>
    <w:rsid w:val="00493F04"/>
    <w:rsid w:val="004947FD"/>
    <w:rsid w:val="004A3B89"/>
    <w:rsid w:val="004A40C3"/>
    <w:rsid w:val="004A73DD"/>
    <w:rsid w:val="004B1E61"/>
    <w:rsid w:val="004B35DA"/>
    <w:rsid w:val="004B52EE"/>
    <w:rsid w:val="004B5F6F"/>
    <w:rsid w:val="004B67C6"/>
    <w:rsid w:val="004B7A00"/>
    <w:rsid w:val="004B7E11"/>
    <w:rsid w:val="004C1354"/>
    <w:rsid w:val="004C272F"/>
    <w:rsid w:val="004C3B2E"/>
    <w:rsid w:val="004C3F05"/>
    <w:rsid w:val="004C4517"/>
    <w:rsid w:val="004C5777"/>
    <w:rsid w:val="004C64B8"/>
    <w:rsid w:val="004C68A6"/>
    <w:rsid w:val="004D038D"/>
    <w:rsid w:val="004D0394"/>
    <w:rsid w:val="004D092B"/>
    <w:rsid w:val="004D100A"/>
    <w:rsid w:val="004D11CD"/>
    <w:rsid w:val="004D1618"/>
    <w:rsid w:val="004D1774"/>
    <w:rsid w:val="004D19F7"/>
    <w:rsid w:val="004D4997"/>
    <w:rsid w:val="004D57BB"/>
    <w:rsid w:val="004D5CD9"/>
    <w:rsid w:val="004D7B11"/>
    <w:rsid w:val="004E269E"/>
    <w:rsid w:val="004E2C92"/>
    <w:rsid w:val="004E3264"/>
    <w:rsid w:val="004E3407"/>
    <w:rsid w:val="004E348E"/>
    <w:rsid w:val="004E402C"/>
    <w:rsid w:val="004E48F8"/>
    <w:rsid w:val="004E68F4"/>
    <w:rsid w:val="004F0007"/>
    <w:rsid w:val="004F0A72"/>
    <w:rsid w:val="004F174C"/>
    <w:rsid w:val="004F279E"/>
    <w:rsid w:val="004F4569"/>
    <w:rsid w:val="005008E4"/>
    <w:rsid w:val="00501596"/>
    <w:rsid w:val="00501EF7"/>
    <w:rsid w:val="00502996"/>
    <w:rsid w:val="005037A9"/>
    <w:rsid w:val="00503A7D"/>
    <w:rsid w:val="0050604E"/>
    <w:rsid w:val="005068DC"/>
    <w:rsid w:val="00506B55"/>
    <w:rsid w:val="00510417"/>
    <w:rsid w:val="00511CBA"/>
    <w:rsid w:val="00514C5A"/>
    <w:rsid w:val="00514C6D"/>
    <w:rsid w:val="005159B1"/>
    <w:rsid w:val="00515F20"/>
    <w:rsid w:val="005176D0"/>
    <w:rsid w:val="00517E95"/>
    <w:rsid w:val="005212EE"/>
    <w:rsid w:val="00523A4A"/>
    <w:rsid w:val="00523C94"/>
    <w:rsid w:val="00523E1F"/>
    <w:rsid w:val="00524936"/>
    <w:rsid w:val="005271B0"/>
    <w:rsid w:val="005301D8"/>
    <w:rsid w:val="005320DD"/>
    <w:rsid w:val="00533DE6"/>
    <w:rsid w:val="00534C40"/>
    <w:rsid w:val="00534FB6"/>
    <w:rsid w:val="00541ACE"/>
    <w:rsid w:val="005424AA"/>
    <w:rsid w:val="00543075"/>
    <w:rsid w:val="00543948"/>
    <w:rsid w:val="0054410F"/>
    <w:rsid w:val="00544B6E"/>
    <w:rsid w:val="005465DC"/>
    <w:rsid w:val="00550EC8"/>
    <w:rsid w:val="005512C0"/>
    <w:rsid w:val="00551FA7"/>
    <w:rsid w:val="005523BB"/>
    <w:rsid w:val="005525E1"/>
    <w:rsid w:val="005525F4"/>
    <w:rsid w:val="00552D5F"/>
    <w:rsid w:val="0055329E"/>
    <w:rsid w:val="00555383"/>
    <w:rsid w:val="00555657"/>
    <w:rsid w:val="0055709E"/>
    <w:rsid w:val="005573EB"/>
    <w:rsid w:val="00557697"/>
    <w:rsid w:val="0055786F"/>
    <w:rsid w:val="0055797A"/>
    <w:rsid w:val="005609C8"/>
    <w:rsid w:val="005609EF"/>
    <w:rsid w:val="005612E4"/>
    <w:rsid w:val="005613B5"/>
    <w:rsid w:val="005654F7"/>
    <w:rsid w:val="0056740D"/>
    <w:rsid w:val="005731F7"/>
    <w:rsid w:val="00575227"/>
    <w:rsid w:val="005777F5"/>
    <w:rsid w:val="0057793F"/>
    <w:rsid w:val="00581F4F"/>
    <w:rsid w:val="005826FC"/>
    <w:rsid w:val="005829AF"/>
    <w:rsid w:val="00584784"/>
    <w:rsid w:val="00584B54"/>
    <w:rsid w:val="00585B01"/>
    <w:rsid w:val="005869AB"/>
    <w:rsid w:val="00590D81"/>
    <w:rsid w:val="00592BF0"/>
    <w:rsid w:val="00592E4F"/>
    <w:rsid w:val="00593169"/>
    <w:rsid w:val="005932FC"/>
    <w:rsid w:val="00593469"/>
    <w:rsid w:val="00594A0F"/>
    <w:rsid w:val="00596243"/>
    <w:rsid w:val="00596AF2"/>
    <w:rsid w:val="00596B6D"/>
    <w:rsid w:val="00596F56"/>
    <w:rsid w:val="0059708D"/>
    <w:rsid w:val="00597D84"/>
    <w:rsid w:val="005A0406"/>
    <w:rsid w:val="005A123F"/>
    <w:rsid w:val="005A177B"/>
    <w:rsid w:val="005A24A6"/>
    <w:rsid w:val="005A2718"/>
    <w:rsid w:val="005A2CE8"/>
    <w:rsid w:val="005A34E5"/>
    <w:rsid w:val="005A565D"/>
    <w:rsid w:val="005A6103"/>
    <w:rsid w:val="005A6F6A"/>
    <w:rsid w:val="005A7297"/>
    <w:rsid w:val="005A7FCA"/>
    <w:rsid w:val="005B37B2"/>
    <w:rsid w:val="005B3A7C"/>
    <w:rsid w:val="005B3E67"/>
    <w:rsid w:val="005B525E"/>
    <w:rsid w:val="005B59CA"/>
    <w:rsid w:val="005B5BDB"/>
    <w:rsid w:val="005C08CC"/>
    <w:rsid w:val="005C11A1"/>
    <w:rsid w:val="005C26B6"/>
    <w:rsid w:val="005C2D61"/>
    <w:rsid w:val="005C38C0"/>
    <w:rsid w:val="005C7789"/>
    <w:rsid w:val="005D22AD"/>
    <w:rsid w:val="005D27A5"/>
    <w:rsid w:val="005D29EF"/>
    <w:rsid w:val="005D2A2D"/>
    <w:rsid w:val="005D3030"/>
    <w:rsid w:val="005D357D"/>
    <w:rsid w:val="005D5867"/>
    <w:rsid w:val="005D6FB4"/>
    <w:rsid w:val="005D7411"/>
    <w:rsid w:val="005E14D9"/>
    <w:rsid w:val="005E213E"/>
    <w:rsid w:val="005E39A2"/>
    <w:rsid w:val="005E441B"/>
    <w:rsid w:val="005E4C95"/>
    <w:rsid w:val="005E4FA6"/>
    <w:rsid w:val="005E5E1A"/>
    <w:rsid w:val="005E6B4D"/>
    <w:rsid w:val="005E6C50"/>
    <w:rsid w:val="005E7FBC"/>
    <w:rsid w:val="005F0175"/>
    <w:rsid w:val="005F264E"/>
    <w:rsid w:val="005F314E"/>
    <w:rsid w:val="005F3C3C"/>
    <w:rsid w:val="005F440F"/>
    <w:rsid w:val="005F6D52"/>
    <w:rsid w:val="005F7319"/>
    <w:rsid w:val="005F7D58"/>
    <w:rsid w:val="00600CE3"/>
    <w:rsid w:val="00602EAE"/>
    <w:rsid w:val="00603F77"/>
    <w:rsid w:val="00607502"/>
    <w:rsid w:val="00607E7F"/>
    <w:rsid w:val="006101D4"/>
    <w:rsid w:val="00610686"/>
    <w:rsid w:val="0061151C"/>
    <w:rsid w:val="00612031"/>
    <w:rsid w:val="006136CF"/>
    <w:rsid w:val="006139EC"/>
    <w:rsid w:val="00613DC7"/>
    <w:rsid w:val="00615A1B"/>
    <w:rsid w:val="00616B0A"/>
    <w:rsid w:val="006171D7"/>
    <w:rsid w:val="00620D52"/>
    <w:rsid w:val="00621735"/>
    <w:rsid w:val="00623AFE"/>
    <w:rsid w:val="00623BA7"/>
    <w:rsid w:val="006268E5"/>
    <w:rsid w:val="00626BAB"/>
    <w:rsid w:val="00626E54"/>
    <w:rsid w:val="00627B0B"/>
    <w:rsid w:val="00633075"/>
    <w:rsid w:val="00634C38"/>
    <w:rsid w:val="006366B7"/>
    <w:rsid w:val="006375CC"/>
    <w:rsid w:val="00643908"/>
    <w:rsid w:val="00643FDA"/>
    <w:rsid w:val="0064450D"/>
    <w:rsid w:val="0064678B"/>
    <w:rsid w:val="00646CFD"/>
    <w:rsid w:val="00647E07"/>
    <w:rsid w:val="0065180E"/>
    <w:rsid w:val="00653DBA"/>
    <w:rsid w:val="00653E15"/>
    <w:rsid w:val="00654B48"/>
    <w:rsid w:val="006554B4"/>
    <w:rsid w:val="00657E39"/>
    <w:rsid w:val="006602D9"/>
    <w:rsid w:val="006608E9"/>
    <w:rsid w:val="00660DA5"/>
    <w:rsid w:val="006623E2"/>
    <w:rsid w:val="00662472"/>
    <w:rsid w:val="006637D5"/>
    <w:rsid w:val="00667936"/>
    <w:rsid w:val="0067039C"/>
    <w:rsid w:val="0067041C"/>
    <w:rsid w:val="00672789"/>
    <w:rsid w:val="006729E8"/>
    <w:rsid w:val="00673CE6"/>
    <w:rsid w:val="0067578C"/>
    <w:rsid w:val="006768D9"/>
    <w:rsid w:val="006778B1"/>
    <w:rsid w:val="0068019D"/>
    <w:rsid w:val="006816C2"/>
    <w:rsid w:val="0068225D"/>
    <w:rsid w:val="00683B12"/>
    <w:rsid w:val="00683DED"/>
    <w:rsid w:val="0068406C"/>
    <w:rsid w:val="006843FE"/>
    <w:rsid w:val="00684771"/>
    <w:rsid w:val="006867E2"/>
    <w:rsid w:val="00687264"/>
    <w:rsid w:val="00691A61"/>
    <w:rsid w:val="00692194"/>
    <w:rsid w:val="006924CC"/>
    <w:rsid w:val="00694FDC"/>
    <w:rsid w:val="00695820"/>
    <w:rsid w:val="006978F7"/>
    <w:rsid w:val="006A0C6C"/>
    <w:rsid w:val="006A4BCC"/>
    <w:rsid w:val="006A6D81"/>
    <w:rsid w:val="006A7883"/>
    <w:rsid w:val="006B0023"/>
    <w:rsid w:val="006B00AC"/>
    <w:rsid w:val="006B180D"/>
    <w:rsid w:val="006B36D5"/>
    <w:rsid w:val="006B43C1"/>
    <w:rsid w:val="006B4C7E"/>
    <w:rsid w:val="006B56F4"/>
    <w:rsid w:val="006B5F24"/>
    <w:rsid w:val="006B7B79"/>
    <w:rsid w:val="006B7FA8"/>
    <w:rsid w:val="006C06EE"/>
    <w:rsid w:val="006C0EFE"/>
    <w:rsid w:val="006C2A45"/>
    <w:rsid w:val="006C5BD1"/>
    <w:rsid w:val="006C6D77"/>
    <w:rsid w:val="006C7E90"/>
    <w:rsid w:val="006D140B"/>
    <w:rsid w:val="006D15CB"/>
    <w:rsid w:val="006D1F32"/>
    <w:rsid w:val="006D2D13"/>
    <w:rsid w:val="006D3690"/>
    <w:rsid w:val="006D4BDA"/>
    <w:rsid w:val="006D56AD"/>
    <w:rsid w:val="006D5790"/>
    <w:rsid w:val="006D58C2"/>
    <w:rsid w:val="006D5FE7"/>
    <w:rsid w:val="006E1159"/>
    <w:rsid w:val="006E1D6D"/>
    <w:rsid w:val="006E2247"/>
    <w:rsid w:val="006E2695"/>
    <w:rsid w:val="006E270B"/>
    <w:rsid w:val="006E346C"/>
    <w:rsid w:val="006E3480"/>
    <w:rsid w:val="006E65B4"/>
    <w:rsid w:val="006F1079"/>
    <w:rsid w:val="006F1A6F"/>
    <w:rsid w:val="006F2964"/>
    <w:rsid w:val="006F398C"/>
    <w:rsid w:val="006F4AD9"/>
    <w:rsid w:val="006F5386"/>
    <w:rsid w:val="006F53B5"/>
    <w:rsid w:val="006F6AF2"/>
    <w:rsid w:val="006F7543"/>
    <w:rsid w:val="0070118D"/>
    <w:rsid w:val="007012F7"/>
    <w:rsid w:val="00701700"/>
    <w:rsid w:val="00701E49"/>
    <w:rsid w:val="0070223E"/>
    <w:rsid w:val="00704C3B"/>
    <w:rsid w:val="00706229"/>
    <w:rsid w:val="007066C4"/>
    <w:rsid w:val="00706D40"/>
    <w:rsid w:val="00710011"/>
    <w:rsid w:val="007101A6"/>
    <w:rsid w:val="00711195"/>
    <w:rsid w:val="0071369D"/>
    <w:rsid w:val="00713EB7"/>
    <w:rsid w:val="00714754"/>
    <w:rsid w:val="00716EC1"/>
    <w:rsid w:val="0071790A"/>
    <w:rsid w:val="007221E7"/>
    <w:rsid w:val="00722A5E"/>
    <w:rsid w:val="00725D49"/>
    <w:rsid w:val="007300FC"/>
    <w:rsid w:val="007309DC"/>
    <w:rsid w:val="00731661"/>
    <w:rsid w:val="007336F8"/>
    <w:rsid w:val="007358FC"/>
    <w:rsid w:val="007373F3"/>
    <w:rsid w:val="00737DED"/>
    <w:rsid w:val="00740EAE"/>
    <w:rsid w:val="00742632"/>
    <w:rsid w:val="007431CF"/>
    <w:rsid w:val="007451A3"/>
    <w:rsid w:val="00747242"/>
    <w:rsid w:val="00747933"/>
    <w:rsid w:val="00747D92"/>
    <w:rsid w:val="007504EB"/>
    <w:rsid w:val="00750D30"/>
    <w:rsid w:val="00752FA2"/>
    <w:rsid w:val="00753064"/>
    <w:rsid w:val="00753E70"/>
    <w:rsid w:val="00753EA8"/>
    <w:rsid w:val="00754018"/>
    <w:rsid w:val="00754173"/>
    <w:rsid w:val="00755AAE"/>
    <w:rsid w:val="00760A98"/>
    <w:rsid w:val="0076316C"/>
    <w:rsid w:val="00763855"/>
    <w:rsid w:val="0076519D"/>
    <w:rsid w:val="00765C20"/>
    <w:rsid w:val="00766120"/>
    <w:rsid w:val="00767162"/>
    <w:rsid w:val="00770F4D"/>
    <w:rsid w:val="00772203"/>
    <w:rsid w:val="0077235E"/>
    <w:rsid w:val="00773B3D"/>
    <w:rsid w:val="00773ED2"/>
    <w:rsid w:val="007745EE"/>
    <w:rsid w:val="00774CD1"/>
    <w:rsid w:val="00775E35"/>
    <w:rsid w:val="00775F56"/>
    <w:rsid w:val="00780CB8"/>
    <w:rsid w:val="00780F57"/>
    <w:rsid w:val="00780F8F"/>
    <w:rsid w:val="0078277A"/>
    <w:rsid w:val="0078328F"/>
    <w:rsid w:val="0078338E"/>
    <w:rsid w:val="007848B6"/>
    <w:rsid w:val="00786D9C"/>
    <w:rsid w:val="00787042"/>
    <w:rsid w:val="0078745D"/>
    <w:rsid w:val="00787731"/>
    <w:rsid w:val="007919F6"/>
    <w:rsid w:val="00791FBF"/>
    <w:rsid w:val="0079610F"/>
    <w:rsid w:val="00796B4F"/>
    <w:rsid w:val="00797517"/>
    <w:rsid w:val="007A1240"/>
    <w:rsid w:val="007A19A6"/>
    <w:rsid w:val="007A284D"/>
    <w:rsid w:val="007A2866"/>
    <w:rsid w:val="007A35A8"/>
    <w:rsid w:val="007A3C61"/>
    <w:rsid w:val="007A5E28"/>
    <w:rsid w:val="007A78CC"/>
    <w:rsid w:val="007B0E8E"/>
    <w:rsid w:val="007B14DC"/>
    <w:rsid w:val="007B1A0E"/>
    <w:rsid w:val="007B252A"/>
    <w:rsid w:val="007B55DE"/>
    <w:rsid w:val="007B5754"/>
    <w:rsid w:val="007C1495"/>
    <w:rsid w:val="007C289A"/>
    <w:rsid w:val="007C2FA9"/>
    <w:rsid w:val="007C3E2F"/>
    <w:rsid w:val="007D0E5B"/>
    <w:rsid w:val="007D1530"/>
    <w:rsid w:val="007D2F58"/>
    <w:rsid w:val="007D330C"/>
    <w:rsid w:val="007D479D"/>
    <w:rsid w:val="007D5AE8"/>
    <w:rsid w:val="007D66E6"/>
    <w:rsid w:val="007D6745"/>
    <w:rsid w:val="007D69C9"/>
    <w:rsid w:val="007D6F93"/>
    <w:rsid w:val="007D706E"/>
    <w:rsid w:val="007D70A4"/>
    <w:rsid w:val="007E0052"/>
    <w:rsid w:val="007E0FDE"/>
    <w:rsid w:val="007E1653"/>
    <w:rsid w:val="007E1DA3"/>
    <w:rsid w:val="007E2308"/>
    <w:rsid w:val="007E367A"/>
    <w:rsid w:val="007E66E2"/>
    <w:rsid w:val="007E78AA"/>
    <w:rsid w:val="007F140A"/>
    <w:rsid w:val="007F190F"/>
    <w:rsid w:val="007F1A8A"/>
    <w:rsid w:val="007F1CDD"/>
    <w:rsid w:val="007F26A9"/>
    <w:rsid w:val="007F29E6"/>
    <w:rsid w:val="007F3600"/>
    <w:rsid w:val="00800128"/>
    <w:rsid w:val="00800652"/>
    <w:rsid w:val="00803385"/>
    <w:rsid w:val="00803989"/>
    <w:rsid w:val="008043FE"/>
    <w:rsid w:val="00804E31"/>
    <w:rsid w:val="00804EF0"/>
    <w:rsid w:val="008052FD"/>
    <w:rsid w:val="00805602"/>
    <w:rsid w:val="008062D9"/>
    <w:rsid w:val="008073AA"/>
    <w:rsid w:val="00807856"/>
    <w:rsid w:val="00807F36"/>
    <w:rsid w:val="00815398"/>
    <w:rsid w:val="00816849"/>
    <w:rsid w:val="00821105"/>
    <w:rsid w:val="00823A70"/>
    <w:rsid w:val="00823ED6"/>
    <w:rsid w:val="00824331"/>
    <w:rsid w:val="00825DEF"/>
    <w:rsid w:val="00825EBD"/>
    <w:rsid w:val="00826645"/>
    <w:rsid w:val="008317E8"/>
    <w:rsid w:val="00831DDD"/>
    <w:rsid w:val="00831E53"/>
    <w:rsid w:val="00832189"/>
    <w:rsid w:val="00832BC8"/>
    <w:rsid w:val="008334F4"/>
    <w:rsid w:val="008335DC"/>
    <w:rsid w:val="0083387E"/>
    <w:rsid w:val="008341E6"/>
    <w:rsid w:val="008349E2"/>
    <w:rsid w:val="00835531"/>
    <w:rsid w:val="0083561B"/>
    <w:rsid w:val="008360F0"/>
    <w:rsid w:val="00840DC0"/>
    <w:rsid w:val="00842545"/>
    <w:rsid w:val="008425B2"/>
    <w:rsid w:val="0084351F"/>
    <w:rsid w:val="00843F39"/>
    <w:rsid w:val="00844D93"/>
    <w:rsid w:val="00844DC4"/>
    <w:rsid w:val="00845CFF"/>
    <w:rsid w:val="0084622C"/>
    <w:rsid w:val="008474FE"/>
    <w:rsid w:val="00847700"/>
    <w:rsid w:val="008502B1"/>
    <w:rsid w:val="00850576"/>
    <w:rsid w:val="00851058"/>
    <w:rsid w:val="00851D9C"/>
    <w:rsid w:val="008561B8"/>
    <w:rsid w:val="00856384"/>
    <w:rsid w:val="00860970"/>
    <w:rsid w:val="00862BB5"/>
    <w:rsid w:val="0086381D"/>
    <w:rsid w:val="00864850"/>
    <w:rsid w:val="00864B1B"/>
    <w:rsid w:val="00865992"/>
    <w:rsid w:val="00866101"/>
    <w:rsid w:val="00866977"/>
    <w:rsid w:val="00866A0F"/>
    <w:rsid w:val="00866C3D"/>
    <w:rsid w:val="00867A25"/>
    <w:rsid w:val="00872CBE"/>
    <w:rsid w:val="008739A0"/>
    <w:rsid w:val="00874D04"/>
    <w:rsid w:val="00875554"/>
    <w:rsid w:val="00876066"/>
    <w:rsid w:val="00876168"/>
    <w:rsid w:val="008765A1"/>
    <w:rsid w:val="00876D15"/>
    <w:rsid w:val="00876D50"/>
    <w:rsid w:val="00880FE7"/>
    <w:rsid w:val="0088134D"/>
    <w:rsid w:val="00881C2B"/>
    <w:rsid w:val="008836E9"/>
    <w:rsid w:val="00883A1E"/>
    <w:rsid w:val="00883EFC"/>
    <w:rsid w:val="008847C3"/>
    <w:rsid w:val="00884F18"/>
    <w:rsid w:val="00885DAD"/>
    <w:rsid w:val="0089008F"/>
    <w:rsid w:val="0089284C"/>
    <w:rsid w:val="008936A5"/>
    <w:rsid w:val="00895950"/>
    <w:rsid w:val="00896D5A"/>
    <w:rsid w:val="00896D6D"/>
    <w:rsid w:val="00897254"/>
    <w:rsid w:val="008A27F7"/>
    <w:rsid w:val="008A3487"/>
    <w:rsid w:val="008A3949"/>
    <w:rsid w:val="008A4133"/>
    <w:rsid w:val="008A44F1"/>
    <w:rsid w:val="008A46E7"/>
    <w:rsid w:val="008A494A"/>
    <w:rsid w:val="008A6650"/>
    <w:rsid w:val="008B052F"/>
    <w:rsid w:val="008B189C"/>
    <w:rsid w:val="008B4ACF"/>
    <w:rsid w:val="008B5527"/>
    <w:rsid w:val="008B5FB4"/>
    <w:rsid w:val="008B6798"/>
    <w:rsid w:val="008B71CC"/>
    <w:rsid w:val="008B7554"/>
    <w:rsid w:val="008C01DD"/>
    <w:rsid w:val="008C0EA2"/>
    <w:rsid w:val="008C18D9"/>
    <w:rsid w:val="008C2A8F"/>
    <w:rsid w:val="008C37A9"/>
    <w:rsid w:val="008C4E2C"/>
    <w:rsid w:val="008C4F78"/>
    <w:rsid w:val="008C5B25"/>
    <w:rsid w:val="008C5BC5"/>
    <w:rsid w:val="008C5E53"/>
    <w:rsid w:val="008C713B"/>
    <w:rsid w:val="008C7D02"/>
    <w:rsid w:val="008D0998"/>
    <w:rsid w:val="008D2E1B"/>
    <w:rsid w:val="008D3737"/>
    <w:rsid w:val="008D52C9"/>
    <w:rsid w:val="008D66CB"/>
    <w:rsid w:val="008D6E78"/>
    <w:rsid w:val="008D757C"/>
    <w:rsid w:val="008E1889"/>
    <w:rsid w:val="008E214F"/>
    <w:rsid w:val="008E222F"/>
    <w:rsid w:val="008E2714"/>
    <w:rsid w:val="008E442C"/>
    <w:rsid w:val="008E6B5A"/>
    <w:rsid w:val="008E6D5A"/>
    <w:rsid w:val="008E7520"/>
    <w:rsid w:val="008F1C3C"/>
    <w:rsid w:val="008F56BB"/>
    <w:rsid w:val="008F5834"/>
    <w:rsid w:val="00901471"/>
    <w:rsid w:val="009022AB"/>
    <w:rsid w:val="009055C1"/>
    <w:rsid w:val="009059C7"/>
    <w:rsid w:val="00905CBE"/>
    <w:rsid w:val="00905FDE"/>
    <w:rsid w:val="00906913"/>
    <w:rsid w:val="00911C44"/>
    <w:rsid w:val="009128A5"/>
    <w:rsid w:val="00912F90"/>
    <w:rsid w:val="00913B3E"/>
    <w:rsid w:val="009145D6"/>
    <w:rsid w:val="0091541B"/>
    <w:rsid w:val="00916217"/>
    <w:rsid w:val="009172D2"/>
    <w:rsid w:val="00917681"/>
    <w:rsid w:val="0092163C"/>
    <w:rsid w:val="00921A5F"/>
    <w:rsid w:val="00921DDE"/>
    <w:rsid w:val="00923BD4"/>
    <w:rsid w:val="00925521"/>
    <w:rsid w:val="00927B9C"/>
    <w:rsid w:val="0093062F"/>
    <w:rsid w:val="00931824"/>
    <w:rsid w:val="00931BE7"/>
    <w:rsid w:val="009321C3"/>
    <w:rsid w:val="00932A2F"/>
    <w:rsid w:val="00933BEB"/>
    <w:rsid w:val="00933C89"/>
    <w:rsid w:val="00934028"/>
    <w:rsid w:val="00934B3F"/>
    <w:rsid w:val="00934FF4"/>
    <w:rsid w:val="0093627E"/>
    <w:rsid w:val="009368AC"/>
    <w:rsid w:val="009374D8"/>
    <w:rsid w:val="009435EC"/>
    <w:rsid w:val="00943EB6"/>
    <w:rsid w:val="00943EBE"/>
    <w:rsid w:val="009441C3"/>
    <w:rsid w:val="00945547"/>
    <w:rsid w:val="009464B9"/>
    <w:rsid w:val="00946DB1"/>
    <w:rsid w:val="00947389"/>
    <w:rsid w:val="009479A2"/>
    <w:rsid w:val="009479B1"/>
    <w:rsid w:val="00947F9A"/>
    <w:rsid w:val="0095090D"/>
    <w:rsid w:val="0095292A"/>
    <w:rsid w:val="00952CEE"/>
    <w:rsid w:val="00954147"/>
    <w:rsid w:val="00954B3E"/>
    <w:rsid w:val="00954F1A"/>
    <w:rsid w:val="00954F90"/>
    <w:rsid w:val="0095620B"/>
    <w:rsid w:val="009566BB"/>
    <w:rsid w:val="0095686F"/>
    <w:rsid w:val="00957420"/>
    <w:rsid w:val="0096061E"/>
    <w:rsid w:val="009650DE"/>
    <w:rsid w:val="00965390"/>
    <w:rsid w:val="0096576B"/>
    <w:rsid w:val="009664AA"/>
    <w:rsid w:val="009709CB"/>
    <w:rsid w:val="0097200B"/>
    <w:rsid w:val="00972177"/>
    <w:rsid w:val="00972452"/>
    <w:rsid w:val="0097278A"/>
    <w:rsid w:val="00973838"/>
    <w:rsid w:val="00974438"/>
    <w:rsid w:val="00974F0F"/>
    <w:rsid w:val="00975B59"/>
    <w:rsid w:val="00975CF9"/>
    <w:rsid w:val="00976660"/>
    <w:rsid w:val="00976FAD"/>
    <w:rsid w:val="00977051"/>
    <w:rsid w:val="00977518"/>
    <w:rsid w:val="0097784D"/>
    <w:rsid w:val="00977E43"/>
    <w:rsid w:val="00980593"/>
    <w:rsid w:val="00980914"/>
    <w:rsid w:val="00981BA7"/>
    <w:rsid w:val="00985758"/>
    <w:rsid w:val="009857D0"/>
    <w:rsid w:val="00985979"/>
    <w:rsid w:val="00985A9F"/>
    <w:rsid w:val="00985C4C"/>
    <w:rsid w:val="00985CAB"/>
    <w:rsid w:val="00985F7D"/>
    <w:rsid w:val="009868DB"/>
    <w:rsid w:val="00986F5C"/>
    <w:rsid w:val="00991ED3"/>
    <w:rsid w:val="00992072"/>
    <w:rsid w:val="009926C4"/>
    <w:rsid w:val="0099317E"/>
    <w:rsid w:val="009932C7"/>
    <w:rsid w:val="00993D84"/>
    <w:rsid w:val="0099463F"/>
    <w:rsid w:val="00994775"/>
    <w:rsid w:val="00994CA4"/>
    <w:rsid w:val="00994F71"/>
    <w:rsid w:val="00995065"/>
    <w:rsid w:val="0099582D"/>
    <w:rsid w:val="00996027"/>
    <w:rsid w:val="009971C6"/>
    <w:rsid w:val="009975BD"/>
    <w:rsid w:val="009976BB"/>
    <w:rsid w:val="009A2B07"/>
    <w:rsid w:val="009A3DC8"/>
    <w:rsid w:val="009A3E57"/>
    <w:rsid w:val="009A3E98"/>
    <w:rsid w:val="009B00EF"/>
    <w:rsid w:val="009B111D"/>
    <w:rsid w:val="009B1210"/>
    <w:rsid w:val="009B165C"/>
    <w:rsid w:val="009B369F"/>
    <w:rsid w:val="009B6621"/>
    <w:rsid w:val="009B74FD"/>
    <w:rsid w:val="009C1573"/>
    <w:rsid w:val="009C1ABD"/>
    <w:rsid w:val="009C1D15"/>
    <w:rsid w:val="009C3ECF"/>
    <w:rsid w:val="009C68D6"/>
    <w:rsid w:val="009C6D2B"/>
    <w:rsid w:val="009C7471"/>
    <w:rsid w:val="009D0C16"/>
    <w:rsid w:val="009D2594"/>
    <w:rsid w:val="009D7757"/>
    <w:rsid w:val="009E046A"/>
    <w:rsid w:val="009E2094"/>
    <w:rsid w:val="009E2A80"/>
    <w:rsid w:val="009E3FAA"/>
    <w:rsid w:val="009E4409"/>
    <w:rsid w:val="009E596E"/>
    <w:rsid w:val="009E5BDA"/>
    <w:rsid w:val="009E7A2C"/>
    <w:rsid w:val="009E7DE3"/>
    <w:rsid w:val="009F1399"/>
    <w:rsid w:val="009F1E12"/>
    <w:rsid w:val="009F20C7"/>
    <w:rsid w:val="009F252A"/>
    <w:rsid w:val="009F32AA"/>
    <w:rsid w:val="009F4871"/>
    <w:rsid w:val="009F4E07"/>
    <w:rsid w:val="009F684C"/>
    <w:rsid w:val="009F73B9"/>
    <w:rsid w:val="00A006C9"/>
    <w:rsid w:val="00A03120"/>
    <w:rsid w:val="00A04C8F"/>
    <w:rsid w:val="00A06FBD"/>
    <w:rsid w:val="00A101A7"/>
    <w:rsid w:val="00A10B43"/>
    <w:rsid w:val="00A10EC0"/>
    <w:rsid w:val="00A12B19"/>
    <w:rsid w:val="00A143A6"/>
    <w:rsid w:val="00A15152"/>
    <w:rsid w:val="00A158CE"/>
    <w:rsid w:val="00A165DA"/>
    <w:rsid w:val="00A1679E"/>
    <w:rsid w:val="00A169F7"/>
    <w:rsid w:val="00A174A8"/>
    <w:rsid w:val="00A20AB2"/>
    <w:rsid w:val="00A21005"/>
    <w:rsid w:val="00A21325"/>
    <w:rsid w:val="00A223FE"/>
    <w:rsid w:val="00A24684"/>
    <w:rsid w:val="00A24F77"/>
    <w:rsid w:val="00A25E9B"/>
    <w:rsid w:val="00A261D9"/>
    <w:rsid w:val="00A302A2"/>
    <w:rsid w:val="00A30527"/>
    <w:rsid w:val="00A317F7"/>
    <w:rsid w:val="00A32238"/>
    <w:rsid w:val="00A325FC"/>
    <w:rsid w:val="00A33571"/>
    <w:rsid w:val="00A35D32"/>
    <w:rsid w:val="00A3628E"/>
    <w:rsid w:val="00A3641C"/>
    <w:rsid w:val="00A36B76"/>
    <w:rsid w:val="00A37E93"/>
    <w:rsid w:val="00A4031D"/>
    <w:rsid w:val="00A421A6"/>
    <w:rsid w:val="00A421E4"/>
    <w:rsid w:val="00A42A20"/>
    <w:rsid w:val="00A51E62"/>
    <w:rsid w:val="00A53984"/>
    <w:rsid w:val="00A5536B"/>
    <w:rsid w:val="00A55821"/>
    <w:rsid w:val="00A56BC2"/>
    <w:rsid w:val="00A6097B"/>
    <w:rsid w:val="00A624E8"/>
    <w:rsid w:val="00A6263E"/>
    <w:rsid w:val="00A63018"/>
    <w:rsid w:val="00A636EA"/>
    <w:rsid w:val="00A63A20"/>
    <w:rsid w:val="00A64774"/>
    <w:rsid w:val="00A64B15"/>
    <w:rsid w:val="00A6589E"/>
    <w:rsid w:val="00A65E25"/>
    <w:rsid w:val="00A6664B"/>
    <w:rsid w:val="00A71323"/>
    <w:rsid w:val="00A719C1"/>
    <w:rsid w:val="00A72895"/>
    <w:rsid w:val="00A73227"/>
    <w:rsid w:val="00A73C3B"/>
    <w:rsid w:val="00A74052"/>
    <w:rsid w:val="00A745AF"/>
    <w:rsid w:val="00A7688C"/>
    <w:rsid w:val="00A7731C"/>
    <w:rsid w:val="00A773FE"/>
    <w:rsid w:val="00A81C27"/>
    <w:rsid w:val="00A83C7D"/>
    <w:rsid w:val="00A90B88"/>
    <w:rsid w:val="00A92960"/>
    <w:rsid w:val="00A929BC"/>
    <w:rsid w:val="00A93482"/>
    <w:rsid w:val="00A95D09"/>
    <w:rsid w:val="00A96C10"/>
    <w:rsid w:val="00A96F73"/>
    <w:rsid w:val="00A972E7"/>
    <w:rsid w:val="00AA010F"/>
    <w:rsid w:val="00AA0A18"/>
    <w:rsid w:val="00AA0E63"/>
    <w:rsid w:val="00AA0F41"/>
    <w:rsid w:val="00AA36E2"/>
    <w:rsid w:val="00AB0827"/>
    <w:rsid w:val="00AB0E9E"/>
    <w:rsid w:val="00AB1B07"/>
    <w:rsid w:val="00AB2609"/>
    <w:rsid w:val="00AB34EF"/>
    <w:rsid w:val="00AB38DB"/>
    <w:rsid w:val="00AB5209"/>
    <w:rsid w:val="00AB55B2"/>
    <w:rsid w:val="00AB6548"/>
    <w:rsid w:val="00AB7120"/>
    <w:rsid w:val="00AB7593"/>
    <w:rsid w:val="00AB79F4"/>
    <w:rsid w:val="00AC015E"/>
    <w:rsid w:val="00AC0417"/>
    <w:rsid w:val="00AC0512"/>
    <w:rsid w:val="00AC35BB"/>
    <w:rsid w:val="00AC38CB"/>
    <w:rsid w:val="00AC453E"/>
    <w:rsid w:val="00AC543E"/>
    <w:rsid w:val="00AC71EE"/>
    <w:rsid w:val="00AD0881"/>
    <w:rsid w:val="00AD10B6"/>
    <w:rsid w:val="00AD1FD5"/>
    <w:rsid w:val="00AD49B1"/>
    <w:rsid w:val="00AD6BAD"/>
    <w:rsid w:val="00AD6C23"/>
    <w:rsid w:val="00AE20BF"/>
    <w:rsid w:val="00AE3328"/>
    <w:rsid w:val="00AE4A75"/>
    <w:rsid w:val="00AE6824"/>
    <w:rsid w:val="00AE6D0F"/>
    <w:rsid w:val="00AE775B"/>
    <w:rsid w:val="00AE7843"/>
    <w:rsid w:val="00AF10CB"/>
    <w:rsid w:val="00AF2974"/>
    <w:rsid w:val="00AF2FAF"/>
    <w:rsid w:val="00AF413A"/>
    <w:rsid w:val="00AF4C41"/>
    <w:rsid w:val="00B002D7"/>
    <w:rsid w:val="00B00C7A"/>
    <w:rsid w:val="00B01EA2"/>
    <w:rsid w:val="00B040E8"/>
    <w:rsid w:val="00B04566"/>
    <w:rsid w:val="00B07232"/>
    <w:rsid w:val="00B10E9D"/>
    <w:rsid w:val="00B1126A"/>
    <w:rsid w:val="00B114F9"/>
    <w:rsid w:val="00B122AB"/>
    <w:rsid w:val="00B12957"/>
    <w:rsid w:val="00B129E7"/>
    <w:rsid w:val="00B12B1D"/>
    <w:rsid w:val="00B13889"/>
    <w:rsid w:val="00B14E18"/>
    <w:rsid w:val="00B15F95"/>
    <w:rsid w:val="00B16079"/>
    <w:rsid w:val="00B16625"/>
    <w:rsid w:val="00B173B0"/>
    <w:rsid w:val="00B17F7E"/>
    <w:rsid w:val="00B21892"/>
    <w:rsid w:val="00B21F15"/>
    <w:rsid w:val="00B21F55"/>
    <w:rsid w:val="00B2343F"/>
    <w:rsid w:val="00B24B73"/>
    <w:rsid w:val="00B251FC"/>
    <w:rsid w:val="00B25E9A"/>
    <w:rsid w:val="00B3010B"/>
    <w:rsid w:val="00B30D6B"/>
    <w:rsid w:val="00B35A15"/>
    <w:rsid w:val="00B35B82"/>
    <w:rsid w:val="00B35E4D"/>
    <w:rsid w:val="00B37469"/>
    <w:rsid w:val="00B3747B"/>
    <w:rsid w:val="00B4263C"/>
    <w:rsid w:val="00B42E93"/>
    <w:rsid w:val="00B42FB7"/>
    <w:rsid w:val="00B43531"/>
    <w:rsid w:val="00B45E84"/>
    <w:rsid w:val="00B5147D"/>
    <w:rsid w:val="00B52728"/>
    <w:rsid w:val="00B52AF0"/>
    <w:rsid w:val="00B5314C"/>
    <w:rsid w:val="00B563C1"/>
    <w:rsid w:val="00B57353"/>
    <w:rsid w:val="00B60459"/>
    <w:rsid w:val="00B605FA"/>
    <w:rsid w:val="00B60FDC"/>
    <w:rsid w:val="00B61A74"/>
    <w:rsid w:val="00B61F13"/>
    <w:rsid w:val="00B6330B"/>
    <w:rsid w:val="00B63E3F"/>
    <w:rsid w:val="00B63FA9"/>
    <w:rsid w:val="00B66C36"/>
    <w:rsid w:val="00B702B5"/>
    <w:rsid w:val="00B70418"/>
    <w:rsid w:val="00B710C1"/>
    <w:rsid w:val="00B71155"/>
    <w:rsid w:val="00B724B6"/>
    <w:rsid w:val="00B72AA5"/>
    <w:rsid w:val="00B735C4"/>
    <w:rsid w:val="00B74222"/>
    <w:rsid w:val="00B748FF"/>
    <w:rsid w:val="00B75F12"/>
    <w:rsid w:val="00B81508"/>
    <w:rsid w:val="00B81880"/>
    <w:rsid w:val="00B822F7"/>
    <w:rsid w:val="00B830A9"/>
    <w:rsid w:val="00B83B47"/>
    <w:rsid w:val="00B856A9"/>
    <w:rsid w:val="00B85B44"/>
    <w:rsid w:val="00B90F13"/>
    <w:rsid w:val="00B9158B"/>
    <w:rsid w:val="00B91F7F"/>
    <w:rsid w:val="00B927D0"/>
    <w:rsid w:val="00B92B6E"/>
    <w:rsid w:val="00B94DCB"/>
    <w:rsid w:val="00B95CB4"/>
    <w:rsid w:val="00B969AA"/>
    <w:rsid w:val="00B96B2C"/>
    <w:rsid w:val="00BA0D74"/>
    <w:rsid w:val="00BA153C"/>
    <w:rsid w:val="00BA4830"/>
    <w:rsid w:val="00BA7A51"/>
    <w:rsid w:val="00BB0C71"/>
    <w:rsid w:val="00BB178D"/>
    <w:rsid w:val="00BB1E02"/>
    <w:rsid w:val="00BB2BB7"/>
    <w:rsid w:val="00BB3191"/>
    <w:rsid w:val="00BB3BCE"/>
    <w:rsid w:val="00BB4480"/>
    <w:rsid w:val="00BB4489"/>
    <w:rsid w:val="00BB6E13"/>
    <w:rsid w:val="00BC1751"/>
    <w:rsid w:val="00BC1960"/>
    <w:rsid w:val="00BC2280"/>
    <w:rsid w:val="00BC34E5"/>
    <w:rsid w:val="00BC3BA7"/>
    <w:rsid w:val="00BC7348"/>
    <w:rsid w:val="00BD0467"/>
    <w:rsid w:val="00BD1101"/>
    <w:rsid w:val="00BD134C"/>
    <w:rsid w:val="00BD457E"/>
    <w:rsid w:val="00BD4C04"/>
    <w:rsid w:val="00BD50B0"/>
    <w:rsid w:val="00BD54D5"/>
    <w:rsid w:val="00BD58C2"/>
    <w:rsid w:val="00BE0CB0"/>
    <w:rsid w:val="00BE1414"/>
    <w:rsid w:val="00BE1567"/>
    <w:rsid w:val="00BE41A6"/>
    <w:rsid w:val="00BE6378"/>
    <w:rsid w:val="00BE68E3"/>
    <w:rsid w:val="00BE7ABB"/>
    <w:rsid w:val="00BF17E9"/>
    <w:rsid w:val="00BF3579"/>
    <w:rsid w:val="00C002FF"/>
    <w:rsid w:val="00C0286E"/>
    <w:rsid w:val="00C035A5"/>
    <w:rsid w:val="00C04DF1"/>
    <w:rsid w:val="00C05099"/>
    <w:rsid w:val="00C0549D"/>
    <w:rsid w:val="00C0610F"/>
    <w:rsid w:val="00C06222"/>
    <w:rsid w:val="00C071A1"/>
    <w:rsid w:val="00C10110"/>
    <w:rsid w:val="00C1075B"/>
    <w:rsid w:val="00C10EB2"/>
    <w:rsid w:val="00C12467"/>
    <w:rsid w:val="00C13ABB"/>
    <w:rsid w:val="00C150CA"/>
    <w:rsid w:val="00C15195"/>
    <w:rsid w:val="00C153C0"/>
    <w:rsid w:val="00C1554B"/>
    <w:rsid w:val="00C172FE"/>
    <w:rsid w:val="00C17881"/>
    <w:rsid w:val="00C2013A"/>
    <w:rsid w:val="00C20C81"/>
    <w:rsid w:val="00C2160D"/>
    <w:rsid w:val="00C2224D"/>
    <w:rsid w:val="00C251D6"/>
    <w:rsid w:val="00C2532B"/>
    <w:rsid w:val="00C25D35"/>
    <w:rsid w:val="00C26C84"/>
    <w:rsid w:val="00C27692"/>
    <w:rsid w:val="00C277B6"/>
    <w:rsid w:val="00C30688"/>
    <w:rsid w:val="00C30950"/>
    <w:rsid w:val="00C31579"/>
    <w:rsid w:val="00C3159B"/>
    <w:rsid w:val="00C31884"/>
    <w:rsid w:val="00C32E80"/>
    <w:rsid w:val="00C33C72"/>
    <w:rsid w:val="00C34C56"/>
    <w:rsid w:val="00C35053"/>
    <w:rsid w:val="00C3555E"/>
    <w:rsid w:val="00C3619D"/>
    <w:rsid w:val="00C37A0A"/>
    <w:rsid w:val="00C37E14"/>
    <w:rsid w:val="00C401BC"/>
    <w:rsid w:val="00C40445"/>
    <w:rsid w:val="00C40B95"/>
    <w:rsid w:val="00C42578"/>
    <w:rsid w:val="00C43D81"/>
    <w:rsid w:val="00C453B4"/>
    <w:rsid w:val="00C473ED"/>
    <w:rsid w:val="00C50209"/>
    <w:rsid w:val="00C50D15"/>
    <w:rsid w:val="00C52313"/>
    <w:rsid w:val="00C524DB"/>
    <w:rsid w:val="00C52864"/>
    <w:rsid w:val="00C52B27"/>
    <w:rsid w:val="00C5304B"/>
    <w:rsid w:val="00C56E39"/>
    <w:rsid w:val="00C57A50"/>
    <w:rsid w:val="00C57C69"/>
    <w:rsid w:val="00C57EB3"/>
    <w:rsid w:val="00C60F75"/>
    <w:rsid w:val="00C61669"/>
    <w:rsid w:val="00C61AE5"/>
    <w:rsid w:val="00C62298"/>
    <w:rsid w:val="00C623DB"/>
    <w:rsid w:val="00C65F1B"/>
    <w:rsid w:val="00C6746C"/>
    <w:rsid w:val="00C6763E"/>
    <w:rsid w:val="00C67CC9"/>
    <w:rsid w:val="00C732BF"/>
    <w:rsid w:val="00C739A6"/>
    <w:rsid w:val="00C74EDF"/>
    <w:rsid w:val="00C75332"/>
    <w:rsid w:val="00C757AC"/>
    <w:rsid w:val="00C7697F"/>
    <w:rsid w:val="00C77D35"/>
    <w:rsid w:val="00C81D46"/>
    <w:rsid w:val="00C84117"/>
    <w:rsid w:val="00C8527F"/>
    <w:rsid w:val="00C871D1"/>
    <w:rsid w:val="00C936F5"/>
    <w:rsid w:val="00C936FF"/>
    <w:rsid w:val="00C946A2"/>
    <w:rsid w:val="00C947D8"/>
    <w:rsid w:val="00C95510"/>
    <w:rsid w:val="00C97C05"/>
    <w:rsid w:val="00C97C63"/>
    <w:rsid w:val="00CA1566"/>
    <w:rsid w:val="00CA1581"/>
    <w:rsid w:val="00CA1F4A"/>
    <w:rsid w:val="00CA28ED"/>
    <w:rsid w:val="00CA59B9"/>
    <w:rsid w:val="00CA5CF6"/>
    <w:rsid w:val="00CA5CFE"/>
    <w:rsid w:val="00CA5DA8"/>
    <w:rsid w:val="00CA60C6"/>
    <w:rsid w:val="00CA731A"/>
    <w:rsid w:val="00CB3019"/>
    <w:rsid w:val="00CB4326"/>
    <w:rsid w:val="00CB4602"/>
    <w:rsid w:val="00CB4E71"/>
    <w:rsid w:val="00CB5885"/>
    <w:rsid w:val="00CB6797"/>
    <w:rsid w:val="00CB695D"/>
    <w:rsid w:val="00CC1809"/>
    <w:rsid w:val="00CC1861"/>
    <w:rsid w:val="00CC2075"/>
    <w:rsid w:val="00CC2328"/>
    <w:rsid w:val="00CC2443"/>
    <w:rsid w:val="00CC4B5E"/>
    <w:rsid w:val="00CC4F3C"/>
    <w:rsid w:val="00CD2749"/>
    <w:rsid w:val="00CD2A17"/>
    <w:rsid w:val="00CD5A58"/>
    <w:rsid w:val="00CD5F97"/>
    <w:rsid w:val="00CD603A"/>
    <w:rsid w:val="00CD6EC9"/>
    <w:rsid w:val="00CD7E2A"/>
    <w:rsid w:val="00CE0500"/>
    <w:rsid w:val="00CE0903"/>
    <w:rsid w:val="00CE245E"/>
    <w:rsid w:val="00CE2B6C"/>
    <w:rsid w:val="00CE2B9E"/>
    <w:rsid w:val="00CE3A0A"/>
    <w:rsid w:val="00CE4D09"/>
    <w:rsid w:val="00CE4D6B"/>
    <w:rsid w:val="00CE5753"/>
    <w:rsid w:val="00CE770D"/>
    <w:rsid w:val="00CF02B4"/>
    <w:rsid w:val="00CF157B"/>
    <w:rsid w:val="00CF3122"/>
    <w:rsid w:val="00CF3568"/>
    <w:rsid w:val="00CF478A"/>
    <w:rsid w:val="00CF4CFA"/>
    <w:rsid w:val="00CF56CF"/>
    <w:rsid w:val="00CF6604"/>
    <w:rsid w:val="00CF72AA"/>
    <w:rsid w:val="00CF7AF1"/>
    <w:rsid w:val="00D0092D"/>
    <w:rsid w:val="00D04771"/>
    <w:rsid w:val="00D04803"/>
    <w:rsid w:val="00D05F2C"/>
    <w:rsid w:val="00D06789"/>
    <w:rsid w:val="00D0687A"/>
    <w:rsid w:val="00D06C44"/>
    <w:rsid w:val="00D115DB"/>
    <w:rsid w:val="00D1227F"/>
    <w:rsid w:val="00D12B88"/>
    <w:rsid w:val="00D17741"/>
    <w:rsid w:val="00D20F9B"/>
    <w:rsid w:val="00D226EE"/>
    <w:rsid w:val="00D236C9"/>
    <w:rsid w:val="00D24123"/>
    <w:rsid w:val="00D24AF7"/>
    <w:rsid w:val="00D269E0"/>
    <w:rsid w:val="00D26F88"/>
    <w:rsid w:val="00D27503"/>
    <w:rsid w:val="00D305DF"/>
    <w:rsid w:val="00D33DA1"/>
    <w:rsid w:val="00D36307"/>
    <w:rsid w:val="00D36462"/>
    <w:rsid w:val="00D3721A"/>
    <w:rsid w:val="00D3766F"/>
    <w:rsid w:val="00D378C5"/>
    <w:rsid w:val="00D37947"/>
    <w:rsid w:val="00D4300D"/>
    <w:rsid w:val="00D43352"/>
    <w:rsid w:val="00D4465C"/>
    <w:rsid w:val="00D4681C"/>
    <w:rsid w:val="00D47CBC"/>
    <w:rsid w:val="00D513A7"/>
    <w:rsid w:val="00D51F93"/>
    <w:rsid w:val="00D520B3"/>
    <w:rsid w:val="00D5397D"/>
    <w:rsid w:val="00D5426C"/>
    <w:rsid w:val="00D54833"/>
    <w:rsid w:val="00D554FF"/>
    <w:rsid w:val="00D567D9"/>
    <w:rsid w:val="00D56E5C"/>
    <w:rsid w:val="00D575A4"/>
    <w:rsid w:val="00D61251"/>
    <w:rsid w:val="00D61BAC"/>
    <w:rsid w:val="00D6296E"/>
    <w:rsid w:val="00D62F04"/>
    <w:rsid w:val="00D630EB"/>
    <w:rsid w:val="00D63636"/>
    <w:rsid w:val="00D657E0"/>
    <w:rsid w:val="00D65B08"/>
    <w:rsid w:val="00D65FFB"/>
    <w:rsid w:val="00D663FF"/>
    <w:rsid w:val="00D67CAA"/>
    <w:rsid w:val="00D70183"/>
    <w:rsid w:val="00D70557"/>
    <w:rsid w:val="00D70D30"/>
    <w:rsid w:val="00D73729"/>
    <w:rsid w:val="00D743C7"/>
    <w:rsid w:val="00D7764D"/>
    <w:rsid w:val="00D77880"/>
    <w:rsid w:val="00D77EA7"/>
    <w:rsid w:val="00D82CE3"/>
    <w:rsid w:val="00D83280"/>
    <w:rsid w:val="00D85395"/>
    <w:rsid w:val="00D859CD"/>
    <w:rsid w:val="00D86080"/>
    <w:rsid w:val="00D86242"/>
    <w:rsid w:val="00D87CF8"/>
    <w:rsid w:val="00D91797"/>
    <w:rsid w:val="00D92382"/>
    <w:rsid w:val="00D9247F"/>
    <w:rsid w:val="00D92F73"/>
    <w:rsid w:val="00D95368"/>
    <w:rsid w:val="00D9623B"/>
    <w:rsid w:val="00D96A94"/>
    <w:rsid w:val="00DA1AFE"/>
    <w:rsid w:val="00DA2B2E"/>
    <w:rsid w:val="00DA3870"/>
    <w:rsid w:val="00DA3F5E"/>
    <w:rsid w:val="00DA4B10"/>
    <w:rsid w:val="00DA5F17"/>
    <w:rsid w:val="00DA66D7"/>
    <w:rsid w:val="00DA6F95"/>
    <w:rsid w:val="00DA7924"/>
    <w:rsid w:val="00DB045C"/>
    <w:rsid w:val="00DB1217"/>
    <w:rsid w:val="00DB1C5D"/>
    <w:rsid w:val="00DB2A23"/>
    <w:rsid w:val="00DB3B3B"/>
    <w:rsid w:val="00DB4C70"/>
    <w:rsid w:val="00DB5178"/>
    <w:rsid w:val="00DB64AD"/>
    <w:rsid w:val="00DB67D4"/>
    <w:rsid w:val="00DC0B0B"/>
    <w:rsid w:val="00DC130A"/>
    <w:rsid w:val="00DC1C4D"/>
    <w:rsid w:val="00DC2DE3"/>
    <w:rsid w:val="00DC2E15"/>
    <w:rsid w:val="00DD2A2A"/>
    <w:rsid w:val="00DD2F50"/>
    <w:rsid w:val="00DD41A4"/>
    <w:rsid w:val="00DD4E90"/>
    <w:rsid w:val="00DD5BC8"/>
    <w:rsid w:val="00DE3C15"/>
    <w:rsid w:val="00DE494D"/>
    <w:rsid w:val="00DE5111"/>
    <w:rsid w:val="00DE6195"/>
    <w:rsid w:val="00DE7566"/>
    <w:rsid w:val="00DE7F45"/>
    <w:rsid w:val="00DF041E"/>
    <w:rsid w:val="00DF05DD"/>
    <w:rsid w:val="00DF0712"/>
    <w:rsid w:val="00DF3344"/>
    <w:rsid w:val="00DF43AF"/>
    <w:rsid w:val="00DF47B6"/>
    <w:rsid w:val="00DF48FE"/>
    <w:rsid w:val="00DF57A5"/>
    <w:rsid w:val="00DF67CB"/>
    <w:rsid w:val="00E02911"/>
    <w:rsid w:val="00E04263"/>
    <w:rsid w:val="00E04CC5"/>
    <w:rsid w:val="00E0545C"/>
    <w:rsid w:val="00E05D31"/>
    <w:rsid w:val="00E06541"/>
    <w:rsid w:val="00E074B8"/>
    <w:rsid w:val="00E101E2"/>
    <w:rsid w:val="00E12609"/>
    <w:rsid w:val="00E13ECC"/>
    <w:rsid w:val="00E140F2"/>
    <w:rsid w:val="00E14A08"/>
    <w:rsid w:val="00E14F45"/>
    <w:rsid w:val="00E15634"/>
    <w:rsid w:val="00E16ABF"/>
    <w:rsid w:val="00E16DB7"/>
    <w:rsid w:val="00E17CF3"/>
    <w:rsid w:val="00E204AC"/>
    <w:rsid w:val="00E204D3"/>
    <w:rsid w:val="00E2075C"/>
    <w:rsid w:val="00E20F09"/>
    <w:rsid w:val="00E21DB3"/>
    <w:rsid w:val="00E22A5A"/>
    <w:rsid w:val="00E2408D"/>
    <w:rsid w:val="00E249BD"/>
    <w:rsid w:val="00E24B08"/>
    <w:rsid w:val="00E24C51"/>
    <w:rsid w:val="00E26287"/>
    <w:rsid w:val="00E26444"/>
    <w:rsid w:val="00E271A3"/>
    <w:rsid w:val="00E302B0"/>
    <w:rsid w:val="00E306FE"/>
    <w:rsid w:val="00E31774"/>
    <w:rsid w:val="00E31F3A"/>
    <w:rsid w:val="00E33F51"/>
    <w:rsid w:val="00E353F4"/>
    <w:rsid w:val="00E369C1"/>
    <w:rsid w:val="00E37716"/>
    <w:rsid w:val="00E400D3"/>
    <w:rsid w:val="00E40C14"/>
    <w:rsid w:val="00E40E81"/>
    <w:rsid w:val="00E41E48"/>
    <w:rsid w:val="00E4377E"/>
    <w:rsid w:val="00E43CF7"/>
    <w:rsid w:val="00E45876"/>
    <w:rsid w:val="00E46198"/>
    <w:rsid w:val="00E468B1"/>
    <w:rsid w:val="00E46B76"/>
    <w:rsid w:val="00E47235"/>
    <w:rsid w:val="00E50D22"/>
    <w:rsid w:val="00E51DD5"/>
    <w:rsid w:val="00E55832"/>
    <w:rsid w:val="00E606BA"/>
    <w:rsid w:val="00E62585"/>
    <w:rsid w:val="00E6275A"/>
    <w:rsid w:val="00E62EB3"/>
    <w:rsid w:val="00E64FA0"/>
    <w:rsid w:val="00E6732F"/>
    <w:rsid w:val="00E67991"/>
    <w:rsid w:val="00E70462"/>
    <w:rsid w:val="00E70C2F"/>
    <w:rsid w:val="00E72A0C"/>
    <w:rsid w:val="00E72B0D"/>
    <w:rsid w:val="00E73209"/>
    <w:rsid w:val="00E7423E"/>
    <w:rsid w:val="00E74A3B"/>
    <w:rsid w:val="00E74DF3"/>
    <w:rsid w:val="00E753E7"/>
    <w:rsid w:val="00E762F8"/>
    <w:rsid w:val="00E76773"/>
    <w:rsid w:val="00E76B7A"/>
    <w:rsid w:val="00E82051"/>
    <w:rsid w:val="00E827D7"/>
    <w:rsid w:val="00E83770"/>
    <w:rsid w:val="00E83BDA"/>
    <w:rsid w:val="00E8435A"/>
    <w:rsid w:val="00E8545D"/>
    <w:rsid w:val="00E85F17"/>
    <w:rsid w:val="00E91395"/>
    <w:rsid w:val="00E91829"/>
    <w:rsid w:val="00E918E5"/>
    <w:rsid w:val="00E919A6"/>
    <w:rsid w:val="00E921ED"/>
    <w:rsid w:val="00E9221D"/>
    <w:rsid w:val="00E9246B"/>
    <w:rsid w:val="00E92D5D"/>
    <w:rsid w:val="00E93AC3"/>
    <w:rsid w:val="00E95446"/>
    <w:rsid w:val="00E96A55"/>
    <w:rsid w:val="00E97068"/>
    <w:rsid w:val="00EA2CB8"/>
    <w:rsid w:val="00EA2EB7"/>
    <w:rsid w:val="00EA40C5"/>
    <w:rsid w:val="00EA47FF"/>
    <w:rsid w:val="00EB16B7"/>
    <w:rsid w:val="00EB207F"/>
    <w:rsid w:val="00EB3DF0"/>
    <w:rsid w:val="00EB6040"/>
    <w:rsid w:val="00EB61FA"/>
    <w:rsid w:val="00EB73E0"/>
    <w:rsid w:val="00EB745A"/>
    <w:rsid w:val="00EC0988"/>
    <w:rsid w:val="00EC14B1"/>
    <w:rsid w:val="00EC4D3B"/>
    <w:rsid w:val="00EC6330"/>
    <w:rsid w:val="00EC71C8"/>
    <w:rsid w:val="00EC725A"/>
    <w:rsid w:val="00ED18A3"/>
    <w:rsid w:val="00ED2344"/>
    <w:rsid w:val="00ED2A37"/>
    <w:rsid w:val="00ED2D07"/>
    <w:rsid w:val="00ED2FFA"/>
    <w:rsid w:val="00ED57DA"/>
    <w:rsid w:val="00ED6679"/>
    <w:rsid w:val="00ED6C17"/>
    <w:rsid w:val="00ED711C"/>
    <w:rsid w:val="00EE001E"/>
    <w:rsid w:val="00EE0A2A"/>
    <w:rsid w:val="00EE1510"/>
    <w:rsid w:val="00EE1D52"/>
    <w:rsid w:val="00EE21FC"/>
    <w:rsid w:val="00EE3A42"/>
    <w:rsid w:val="00EE3AE1"/>
    <w:rsid w:val="00EE5718"/>
    <w:rsid w:val="00EF36A7"/>
    <w:rsid w:val="00EF40BD"/>
    <w:rsid w:val="00EF4AF8"/>
    <w:rsid w:val="00EF5742"/>
    <w:rsid w:val="00EF574D"/>
    <w:rsid w:val="00EF6C3A"/>
    <w:rsid w:val="00EF6EC3"/>
    <w:rsid w:val="00EF6F93"/>
    <w:rsid w:val="00EF70D0"/>
    <w:rsid w:val="00F01E5A"/>
    <w:rsid w:val="00F04C17"/>
    <w:rsid w:val="00F04C6A"/>
    <w:rsid w:val="00F05909"/>
    <w:rsid w:val="00F07CBE"/>
    <w:rsid w:val="00F11A43"/>
    <w:rsid w:val="00F14F2D"/>
    <w:rsid w:val="00F15A85"/>
    <w:rsid w:val="00F1632A"/>
    <w:rsid w:val="00F1704E"/>
    <w:rsid w:val="00F1798F"/>
    <w:rsid w:val="00F2134F"/>
    <w:rsid w:val="00F22155"/>
    <w:rsid w:val="00F222FB"/>
    <w:rsid w:val="00F229BC"/>
    <w:rsid w:val="00F23346"/>
    <w:rsid w:val="00F2499C"/>
    <w:rsid w:val="00F24EEE"/>
    <w:rsid w:val="00F26529"/>
    <w:rsid w:val="00F27A77"/>
    <w:rsid w:val="00F303B8"/>
    <w:rsid w:val="00F332FF"/>
    <w:rsid w:val="00F34C6E"/>
    <w:rsid w:val="00F358CA"/>
    <w:rsid w:val="00F372A3"/>
    <w:rsid w:val="00F402E8"/>
    <w:rsid w:val="00F4293D"/>
    <w:rsid w:val="00F42FAF"/>
    <w:rsid w:val="00F43794"/>
    <w:rsid w:val="00F449A8"/>
    <w:rsid w:val="00F46B38"/>
    <w:rsid w:val="00F46FBB"/>
    <w:rsid w:val="00F47370"/>
    <w:rsid w:val="00F47C1A"/>
    <w:rsid w:val="00F508AF"/>
    <w:rsid w:val="00F51EE4"/>
    <w:rsid w:val="00F52F81"/>
    <w:rsid w:val="00F53B95"/>
    <w:rsid w:val="00F54DBA"/>
    <w:rsid w:val="00F5611F"/>
    <w:rsid w:val="00F56247"/>
    <w:rsid w:val="00F6016E"/>
    <w:rsid w:val="00F6053A"/>
    <w:rsid w:val="00F6101B"/>
    <w:rsid w:val="00F64D6B"/>
    <w:rsid w:val="00F66D1C"/>
    <w:rsid w:val="00F67EFE"/>
    <w:rsid w:val="00F70C30"/>
    <w:rsid w:val="00F713E0"/>
    <w:rsid w:val="00F72209"/>
    <w:rsid w:val="00F7228D"/>
    <w:rsid w:val="00F72CCB"/>
    <w:rsid w:val="00F733E6"/>
    <w:rsid w:val="00F74665"/>
    <w:rsid w:val="00F75A09"/>
    <w:rsid w:val="00F7609E"/>
    <w:rsid w:val="00F803AC"/>
    <w:rsid w:val="00F80639"/>
    <w:rsid w:val="00F809C0"/>
    <w:rsid w:val="00F82808"/>
    <w:rsid w:val="00F82C95"/>
    <w:rsid w:val="00F82FC0"/>
    <w:rsid w:val="00F83AC5"/>
    <w:rsid w:val="00F8576A"/>
    <w:rsid w:val="00F900F1"/>
    <w:rsid w:val="00F90BC0"/>
    <w:rsid w:val="00F91143"/>
    <w:rsid w:val="00F93D86"/>
    <w:rsid w:val="00F959F0"/>
    <w:rsid w:val="00F96C32"/>
    <w:rsid w:val="00F96EF1"/>
    <w:rsid w:val="00F97205"/>
    <w:rsid w:val="00FA29FD"/>
    <w:rsid w:val="00FA3116"/>
    <w:rsid w:val="00FA337D"/>
    <w:rsid w:val="00FA373F"/>
    <w:rsid w:val="00FA4BFD"/>
    <w:rsid w:val="00FA6A87"/>
    <w:rsid w:val="00FA7A2A"/>
    <w:rsid w:val="00FA7F01"/>
    <w:rsid w:val="00FB1ED8"/>
    <w:rsid w:val="00FB2550"/>
    <w:rsid w:val="00FB269D"/>
    <w:rsid w:val="00FB3C33"/>
    <w:rsid w:val="00FB4300"/>
    <w:rsid w:val="00FB4886"/>
    <w:rsid w:val="00FB5E94"/>
    <w:rsid w:val="00FB60D6"/>
    <w:rsid w:val="00FB638D"/>
    <w:rsid w:val="00FC12BE"/>
    <w:rsid w:val="00FC2065"/>
    <w:rsid w:val="00FC2194"/>
    <w:rsid w:val="00FC745E"/>
    <w:rsid w:val="00FD1059"/>
    <w:rsid w:val="00FD10A2"/>
    <w:rsid w:val="00FD1790"/>
    <w:rsid w:val="00FD252D"/>
    <w:rsid w:val="00FD2CCD"/>
    <w:rsid w:val="00FD3198"/>
    <w:rsid w:val="00FD358C"/>
    <w:rsid w:val="00FD4997"/>
    <w:rsid w:val="00FD580B"/>
    <w:rsid w:val="00FD7FBD"/>
    <w:rsid w:val="00FE1DA8"/>
    <w:rsid w:val="00FE3B18"/>
    <w:rsid w:val="00FE52AF"/>
    <w:rsid w:val="00FE5BF1"/>
    <w:rsid w:val="00FE7ED8"/>
    <w:rsid w:val="00FF10CA"/>
    <w:rsid w:val="00FF26BD"/>
    <w:rsid w:val="00FF284A"/>
    <w:rsid w:val="00FF2FD6"/>
    <w:rsid w:val="00FF37F5"/>
    <w:rsid w:val="00FF5EAB"/>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4E5A2FDB-9F23-49DB-898C-423639F8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paragraph" w:customStyle="1" w:styleId="msonormal0">
    <w:name w:val="msonormal"/>
    <w:basedOn w:val="Normal"/>
    <w:rsid w:val="00237BBF"/>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2.xml><?xml version="1.0" encoding="utf-8"?>
<titus xmlns="http://schemas.titus.com/TitusProperties/">
  <TitusGUID xmlns="">3c95d8ca-edc9-4cad-b83a-82d8ad06607b</TitusGUID>
  <TitusMetadata xmlns="">eyJucyI6IioiLCJwcm9wcyI6W3sibiI6IkNsYXNpZmljYXJlIiwidmFscyI6W3sidmFsdWUiOiJOT05FIn1dfV19</TitusMetadata>
</titu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customXml/itemProps2.xml><?xml version="1.0" encoding="utf-8"?>
<ds:datastoreItem xmlns:ds="http://schemas.openxmlformats.org/officeDocument/2006/customXml" ds:itemID="{F1F42337-4177-4711-A623-26D912CD93E1}">
  <ds:schemaRefs>
    <ds:schemaRef ds:uri="http://schemas.titus.com/TitusProperties/"/>
    <ds:schemaRef ds:uri=""/>
  </ds:schemaRefs>
</ds:datastoreItem>
</file>

<file path=customXml/itemProps3.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customXml/itemProps4.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B69A69-586D-4F4B-866D-F992B4387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20265</Words>
  <Characters>117539</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2026-04-06T15:26:00Z</cp:lastPrinted>
  <dcterms:created xsi:type="dcterms:W3CDTF">2026-04-06T15:26:00Z</dcterms:created>
  <dcterms:modified xsi:type="dcterms:W3CDTF">2026-04-06T15:26:00Z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fb7d9dae-0167-49d7-864f-68b392b7c860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2025-04-28T19:19:10Z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61c21c8d-dfee-4b85-9c5c-0906cc7a9473</vt:lpwstr>
  </property>
  <property fmtid="{D5CDD505-2E9C-101B-9397-08002B2CF9AE}" pid="11" name="MSIP_Label_38962dcf-d39f-4edc-a396-338a56ba9170_ContentBits">
    <vt:lpwstr>0</vt:lpwstr>
  </property>
</Properties>
</file>